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424" w:rsidRDefault="001111B1" w:rsidP="00D64362">
      <w:pPr>
        <w:spacing w:line="360" w:lineRule="auto"/>
        <w:jc w:val="center"/>
        <w:rPr>
          <w:rFonts w:ascii="Times New Roman" w:hAnsi="Times New Roman" w:cs="Times New Roman"/>
          <w:b/>
          <w:sz w:val="24"/>
          <w:szCs w:val="24"/>
        </w:rPr>
      </w:pPr>
      <w:r w:rsidRPr="00185703">
        <w:rPr>
          <w:rFonts w:ascii="Times New Roman" w:hAnsi="Times New Roman" w:cs="Times New Roman"/>
          <w:b/>
          <w:sz w:val="24"/>
          <w:szCs w:val="24"/>
        </w:rPr>
        <w:t>STUDI KOMPARATIF RISIKO KREDIT, RISIKO LIKUIDITAS DAN RISIKO PASAR PADA PERBANKAN DI NEGARA INDONESIA, MALAYSIA DAN THAILAND</w:t>
      </w:r>
    </w:p>
    <w:p w:rsidR="001111B1" w:rsidRDefault="001111B1" w:rsidP="00D64362">
      <w:pPr>
        <w:spacing w:after="0" w:line="360" w:lineRule="auto"/>
        <w:jc w:val="center"/>
        <w:rPr>
          <w:rFonts w:ascii="Times New Roman" w:hAnsi="Times New Roman" w:cs="Times New Roman"/>
          <w:sz w:val="24"/>
          <w:szCs w:val="24"/>
        </w:rPr>
      </w:pPr>
      <w:r w:rsidRPr="001111B1">
        <w:rPr>
          <w:rFonts w:ascii="Times New Roman" w:hAnsi="Times New Roman" w:cs="Times New Roman"/>
          <w:sz w:val="24"/>
          <w:szCs w:val="24"/>
        </w:rPr>
        <w:t>Cici Widya Prasetyandari</w:t>
      </w:r>
    </w:p>
    <w:p w:rsidR="00994B25" w:rsidRPr="001111B1" w:rsidRDefault="00994B25" w:rsidP="00D6436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Zahida I'Tisoma Billah</w:t>
      </w:r>
    </w:p>
    <w:p w:rsidR="001111B1" w:rsidRDefault="001111B1" w:rsidP="00D64362">
      <w:pPr>
        <w:spacing w:after="0" w:line="360" w:lineRule="auto"/>
        <w:jc w:val="center"/>
        <w:rPr>
          <w:rFonts w:ascii="Times New Roman" w:hAnsi="Times New Roman" w:cs="Times New Roman"/>
          <w:sz w:val="24"/>
          <w:szCs w:val="24"/>
        </w:rPr>
      </w:pPr>
      <w:r w:rsidRPr="001111B1">
        <w:rPr>
          <w:rFonts w:ascii="Times New Roman" w:hAnsi="Times New Roman" w:cs="Times New Roman"/>
          <w:sz w:val="24"/>
          <w:szCs w:val="24"/>
        </w:rPr>
        <w:t>Universitas Islam Zainul Hasan Genggong Probolinggo</w:t>
      </w:r>
    </w:p>
    <w:p w:rsidR="00482436" w:rsidRPr="001111B1" w:rsidRDefault="00482436" w:rsidP="00D6436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email; ciciwidyaprsetyandari@gmail.com; zahida</w:t>
      </w:r>
    </w:p>
    <w:p w:rsidR="00B82A6B" w:rsidRDefault="004A528A" w:rsidP="00D643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A528A" w:rsidRDefault="004A528A" w:rsidP="00D64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Tujuan penelitian ini adalah untuk mengetahui perbedaan risiko keuangan yang terdapat pada beberapa bank di Negara Indonesia, Malaysia dan Thailand. </w:t>
      </w:r>
      <w:r w:rsidR="00184836">
        <w:rPr>
          <w:rFonts w:ascii="Times New Roman" w:hAnsi="Times New Roman" w:cs="Times New Roman"/>
          <w:sz w:val="24"/>
          <w:szCs w:val="24"/>
        </w:rPr>
        <w:t>Populasi penelitian ini adalah seluruh</w:t>
      </w:r>
      <w:r w:rsidR="00463284">
        <w:rPr>
          <w:rFonts w:ascii="Times New Roman" w:hAnsi="Times New Roman" w:cs="Times New Roman"/>
          <w:sz w:val="24"/>
          <w:szCs w:val="24"/>
        </w:rPr>
        <w:t xml:space="preserve"> Bank Umum di Negara Indonesia, Malaysia dan Thailand. Adapun Tekhnik pemilihan sampel yang digunakan adalah </w:t>
      </w:r>
      <w:r w:rsidR="00463284" w:rsidRPr="00B76791">
        <w:rPr>
          <w:rFonts w:ascii="Times New Roman" w:hAnsi="Times New Roman" w:cs="Times New Roman"/>
          <w:i/>
          <w:sz w:val="24"/>
          <w:szCs w:val="24"/>
        </w:rPr>
        <w:t>Purposive Sampling</w:t>
      </w:r>
      <w:r w:rsidR="00463284">
        <w:rPr>
          <w:rFonts w:ascii="Times New Roman" w:hAnsi="Times New Roman" w:cs="Times New Roman"/>
          <w:sz w:val="24"/>
          <w:szCs w:val="24"/>
        </w:rPr>
        <w:t xml:space="preserve">. Alat analisis pada penelitian ini adalah analisis komparatif dengan uji </w:t>
      </w:r>
      <w:r w:rsidR="00463284" w:rsidRPr="00B76791">
        <w:rPr>
          <w:rFonts w:ascii="Times New Roman" w:hAnsi="Times New Roman" w:cs="Times New Roman"/>
          <w:i/>
          <w:sz w:val="24"/>
          <w:szCs w:val="24"/>
        </w:rPr>
        <w:t>kruskal willis</w:t>
      </w:r>
      <w:r w:rsidR="00463284">
        <w:rPr>
          <w:rFonts w:ascii="Times New Roman" w:hAnsi="Times New Roman" w:cs="Times New Roman"/>
          <w:sz w:val="24"/>
          <w:szCs w:val="24"/>
        </w:rPr>
        <w:t>. Hasil Penelitian menunjukkan bahwa terdapat perbedaan yang signifikan pada variabel NPL, LDR, dan NIM Perbankan di Negara Indonesia, Malaysia dan Thailand.</w:t>
      </w:r>
    </w:p>
    <w:p w:rsidR="00463284" w:rsidRPr="004A528A" w:rsidRDefault="00463284" w:rsidP="00D64362">
      <w:pPr>
        <w:spacing w:line="360" w:lineRule="auto"/>
        <w:jc w:val="both"/>
        <w:rPr>
          <w:rFonts w:ascii="Times New Roman" w:hAnsi="Times New Roman" w:cs="Times New Roman"/>
          <w:sz w:val="24"/>
          <w:szCs w:val="24"/>
        </w:rPr>
      </w:pPr>
      <w:r>
        <w:rPr>
          <w:rFonts w:ascii="Times New Roman" w:hAnsi="Times New Roman" w:cs="Times New Roman"/>
          <w:sz w:val="24"/>
          <w:szCs w:val="24"/>
        </w:rPr>
        <w:t>Kata Kunci; NPL, LDR, NIM</w:t>
      </w:r>
    </w:p>
    <w:p w:rsidR="00B77D58" w:rsidRPr="00994B25" w:rsidRDefault="00994B25" w:rsidP="00D64362">
      <w:pPr>
        <w:pStyle w:val="ListParagraph"/>
        <w:numPr>
          <w:ilvl w:val="0"/>
          <w:numId w:val="1"/>
        </w:numPr>
        <w:spacing w:line="360" w:lineRule="auto"/>
        <w:ind w:left="360"/>
        <w:rPr>
          <w:rFonts w:ascii="Times New Roman" w:hAnsi="Times New Roman" w:cs="Times New Roman"/>
          <w:b/>
          <w:sz w:val="24"/>
          <w:szCs w:val="24"/>
        </w:rPr>
      </w:pPr>
      <w:r w:rsidRPr="00994B25">
        <w:rPr>
          <w:rFonts w:ascii="Times New Roman" w:hAnsi="Times New Roman" w:cs="Times New Roman"/>
          <w:b/>
          <w:sz w:val="24"/>
          <w:szCs w:val="24"/>
        </w:rPr>
        <w:t>PENDAHULUAN</w:t>
      </w:r>
    </w:p>
    <w:p w:rsidR="00E30CCC" w:rsidRDefault="00E30CCC" w:rsidP="00D643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Terbentuknya ASEAN </w:t>
      </w:r>
      <w:r w:rsidRPr="001117F3">
        <w:rPr>
          <w:rFonts w:ascii="Times New Roman" w:hAnsi="Times New Roman" w:cs="Times New Roman"/>
          <w:i/>
          <w:sz w:val="24"/>
          <w:szCs w:val="24"/>
        </w:rPr>
        <w:t>Economic Community</w:t>
      </w:r>
      <w:r>
        <w:rPr>
          <w:rFonts w:ascii="Times New Roman" w:hAnsi="Times New Roman" w:cs="Times New Roman"/>
          <w:sz w:val="24"/>
          <w:szCs w:val="24"/>
        </w:rPr>
        <w:t xml:space="preserve"> (AEC) atau Masyarakat Ekonomi ASEAN (MEA) merupakan angin segar bagi </w:t>
      </w:r>
      <w:r w:rsidR="00C06BD0">
        <w:rPr>
          <w:rFonts w:ascii="Times New Roman" w:hAnsi="Times New Roman" w:cs="Times New Roman"/>
          <w:sz w:val="24"/>
          <w:szCs w:val="24"/>
        </w:rPr>
        <w:t>negara-negara di Asia Tenggara. AE</w:t>
      </w:r>
      <w:r>
        <w:rPr>
          <w:rFonts w:ascii="Times New Roman" w:hAnsi="Times New Roman" w:cs="Times New Roman"/>
          <w:sz w:val="24"/>
          <w:szCs w:val="24"/>
        </w:rPr>
        <w:t>C didirikan pada t</w:t>
      </w:r>
      <w:r w:rsidR="009548DE">
        <w:rPr>
          <w:rFonts w:ascii="Times New Roman" w:hAnsi="Times New Roman" w:cs="Times New Roman"/>
          <w:sz w:val="24"/>
          <w:szCs w:val="24"/>
        </w:rPr>
        <w:t>ahun 2015 dengan tujuan menjadikan ASEAN sebagai pasar tunggal</w:t>
      </w:r>
      <w:r w:rsidR="00C06BD0">
        <w:rPr>
          <w:rFonts w:ascii="Times New Roman" w:hAnsi="Times New Roman" w:cs="Times New Roman"/>
          <w:sz w:val="24"/>
          <w:szCs w:val="24"/>
        </w:rPr>
        <w:t>,</w:t>
      </w:r>
      <w:r w:rsidR="009548DE">
        <w:rPr>
          <w:rFonts w:ascii="Times New Roman" w:hAnsi="Times New Roman" w:cs="Times New Roman"/>
          <w:sz w:val="24"/>
          <w:szCs w:val="24"/>
        </w:rPr>
        <w:t xml:space="preserve"> dimana terjadi kebebasan dalam transaksi arus barang dan jasa, Arus modal dan </w:t>
      </w:r>
      <w:r w:rsidR="009548DE" w:rsidRPr="009548DE">
        <w:rPr>
          <w:rFonts w:ascii="Times New Roman" w:hAnsi="Times New Roman" w:cs="Times New Roman"/>
          <w:sz w:val="24"/>
          <w:szCs w:val="24"/>
        </w:rPr>
        <w:t xml:space="preserve">investasi, </w:t>
      </w:r>
      <w:r w:rsidR="009548DE">
        <w:rPr>
          <w:rFonts w:ascii="Times New Roman" w:hAnsi="Times New Roman" w:cs="Times New Roman"/>
          <w:sz w:val="24"/>
          <w:szCs w:val="24"/>
        </w:rPr>
        <w:t>dan Arus tenaga kerja terlatih.</w:t>
      </w:r>
      <w:r w:rsidR="00C06BD0">
        <w:rPr>
          <w:rFonts w:ascii="Times New Roman" w:hAnsi="Times New Roman" w:cs="Times New Roman"/>
          <w:sz w:val="24"/>
          <w:szCs w:val="24"/>
        </w:rPr>
        <w:t xml:space="preserve"> Adanya AE</w:t>
      </w:r>
      <w:r w:rsidR="00C76064">
        <w:rPr>
          <w:rFonts w:ascii="Times New Roman" w:hAnsi="Times New Roman" w:cs="Times New Roman"/>
          <w:sz w:val="24"/>
          <w:szCs w:val="24"/>
        </w:rPr>
        <w:t>C menuntut perbankan sebagai lembaga keuangan penunjang yang mempunyai peran penting bagi terwujudnya negara yang kompetitif dan sejahtera.</w:t>
      </w:r>
    </w:p>
    <w:p w:rsidR="006A7B6B" w:rsidRDefault="006A7B6B" w:rsidP="00D64362">
      <w:pPr>
        <w:spacing w:line="360" w:lineRule="auto"/>
        <w:jc w:val="both"/>
        <w:rPr>
          <w:rFonts w:ascii="Times New Roman" w:hAnsi="Times New Roman" w:cs="Times New Roman"/>
          <w:sz w:val="24"/>
          <w:szCs w:val="24"/>
        </w:rPr>
      </w:pPr>
      <w:r>
        <w:rPr>
          <w:rFonts w:ascii="Times New Roman" w:hAnsi="Times New Roman" w:cs="Times New Roman"/>
          <w:sz w:val="24"/>
          <w:szCs w:val="24"/>
        </w:rPr>
        <w:t>Perbankan merupakan lembaga keuangan yang berperan sebagai mediasi antara pihak yang kelebihan dana dan pihak yang kekurangan dana.</w:t>
      </w:r>
      <w:r w:rsidR="00200CAB">
        <w:rPr>
          <w:rFonts w:ascii="Times New Roman" w:hAnsi="Times New Roman" w:cs="Times New Roman"/>
          <w:sz w:val="24"/>
          <w:szCs w:val="24"/>
        </w:rPr>
        <w:t xml:space="preserve"> Pihak yang kelebihan dana akan menyalurkan dana kepada perbankan dalam bentuk tabungan, sedangkan pihak yang kekurangan dana akan memperoleh dana dari perbankan dengan bentuk pinjaman. </w:t>
      </w:r>
      <w:r w:rsidR="00E043EF">
        <w:rPr>
          <w:rFonts w:ascii="Times New Roman" w:hAnsi="Times New Roman" w:cs="Times New Roman"/>
          <w:sz w:val="24"/>
          <w:szCs w:val="24"/>
        </w:rPr>
        <w:t>Perbankan merupakan lembaga keuangan yang sangat penting bagi perekonomian masyarakat setiap negara, dengan adanya perbankan perekonomian bisa berjalan dengan stabil</w:t>
      </w:r>
      <w:r w:rsidR="00111CDD">
        <w:rPr>
          <w:rFonts w:ascii="Times New Roman" w:hAnsi="Times New Roman" w:cs="Times New Roman"/>
          <w:sz w:val="24"/>
          <w:szCs w:val="24"/>
        </w:rPr>
        <w:t>. Setiap perusahaan akan membiayai usahanya dengan bantuan lembaga keuangan perbankan. Oleh sebab itu, kemakmuran setiap negara bisa diukur dengan jumlah perbankan yang ada pada negara tersebut.</w:t>
      </w:r>
    </w:p>
    <w:p w:rsidR="00111CDD" w:rsidRDefault="00111CDD" w:rsidP="00D643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Peran perbankan sangat penting untuk mendorong perekonomian setiap negara, karena seluruh lapisan masyarakat dan seluruh sektor usaha akan membutuhkan perbankan sebagai mitra untuk mempermudah dalam melakukan transaksi keuangan. Lembaga keuangan perbankan mempunyai risiko yang rentan khususnya risiko yang berhubungan dengan keuangan. Pada umumnya risiko yang dihadapi oleh perbankan di indonesia juga akan dihadapi oleh negara lain. Risiko Keuangan yang biasa dihadapi oleh perbankan adalah risiko kredit, risiko likuiditas dan risiko pasar. </w:t>
      </w:r>
    </w:p>
    <w:p w:rsidR="00111CDD" w:rsidRDefault="00540417" w:rsidP="00D64362">
      <w:pPr>
        <w:spacing w:line="360" w:lineRule="auto"/>
        <w:jc w:val="both"/>
        <w:rPr>
          <w:rFonts w:ascii="Times New Roman" w:hAnsi="Times New Roman" w:cs="Times New Roman"/>
          <w:sz w:val="24"/>
          <w:szCs w:val="24"/>
        </w:rPr>
      </w:pPr>
      <w:r>
        <w:rPr>
          <w:rFonts w:ascii="Times New Roman" w:hAnsi="Times New Roman" w:cs="Times New Roman"/>
          <w:sz w:val="24"/>
          <w:szCs w:val="24"/>
        </w:rPr>
        <w:t>Risiko kredit menurut Fahmi</w:t>
      </w:r>
      <w:r w:rsidRPr="00540417">
        <w:rPr>
          <w:rFonts w:ascii="Times New Roman" w:hAnsi="Times New Roman" w:cs="Times New Roman"/>
          <w:sz w:val="24"/>
          <w:szCs w:val="24"/>
        </w:rPr>
        <w:t xml:space="preserve"> </w:t>
      </w:r>
      <w:r>
        <w:rPr>
          <w:rFonts w:ascii="Times New Roman" w:hAnsi="Times New Roman" w:cs="Times New Roman"/>
          <w:sz w:val="24"/>
          <w:szCs w:val="24"/>
        </w:rPr>
        <w:t xml:space="preserve">(2014:104) </w:t>
      </w:r>
      <w:r w:rsidRPr="00540417">
        <w:rPr>
          <w:rFonts w:ascii="Times New Roman" w:hAnsi="Times New Roman" w:cs="Times New Roman"/>
          <w:sz w:val="24"/>
          <w:szCs w:val="24"/>
        </w:rPr>
        <w:t xml:space="preserve">adalah risiko yang disebabkan oleh tidakmampuan para debitur dalam memenuhi kewajibannya sebagaimana yang dipersyaratkan oleh pihak kreditur Risiko kredit dalam </w:t>
      </w:r>
      <w:r w:rsidR="00A92C76">
        <w:rPr>
          <w:rFonts w:ascii="Times New Roman" w:hAnsi="Times New Roman" w:cs="Times New Roman"/>
          <w:sz w:val="24"/>
          <w:szCs w:val="24"/>
        </w:rPr>
        <w:t>Perbankan</w:t>
      </w:r>
      <w:r w:rsidRPr="00540417">
        <w:rPr>
          <w:rFonts w:ascii="Times New Roman" w:hAnsi="Times New Roman" w:cs="Times New Roman"/>
          <w:sz w:val="24"/>
          <w:szCs w:val="24"/>
        </w:rPr>
        <w:t xml:space="preserve"> merupakan risiko yang terjadi karena adanya kredit macet</w:t>
      </w:r>
      <w:r w:rsidR="00A92C76">
        <w:rPr>
          <w:rFonts w:ascii="Times New Roman" w:hAnsi="Times New Roman" w:cs="Times New Roman"/>
          <w:sz w:val="24"/>
          <w:szCs w:val="24"/>
        </w:rPr>
        <w:t>/ gagal bayar oleh nasabah</w:t>
      </w:r>
      <w:r w:rsidR="00021BCE">
        <w:rPr>
          <w:rFonts w:ascii="Times New Roman" w:hAnsi="Times New Roman" w:cs="Times New Roman"/>
          <w:sz w:val="24"/>
          <w:szCs w:val="24"/>
        </w:rPr>
        <w:t>. Risiko kredit pada</w:t>
      </w:r>
      <w:r w:rsidRPr="00540417">
        <w:rPr>
          <w:rFonts w:ascii="Times New Roman" w:hAnsi="Times New Roman" w:cs="Times New Roman"/>
          <w:sz w:val="24"/>
          <w:szCs w:val="24"/>
        </w:rPr>
        <w:t xml:space="preserve"> perbankan dapat diukur dengan menggunakan r</w:t>
      </w:r>
      <w:r w:rsidR="005437A6">
        <w:rPr>
          <w:rFonts w:ascii="Times New Roman" w:hAnsi="Times New Roman" w:cs="Times New Roman"/>
          <w:sz w:val="24"/>
          <w:szCs w:val="24"/>
        </w:rPr>
        <w:t>asio NPL (</w:t>
      </w:r>
      <w:r w:rsidR="005437A6" w:rsidRPr="003736E7">
        <w:rPr>
          <w:rFonts w:ascii="Times New Roman" w:hAnsi="Times New Roman" w:cs="Times New Roman"/>
          <w:i/>
          <w:sz w:val="24"/>
          <w:szCs w:val="24"/>
        </w:rPr>
        <w:t>Non Performing Loan</w:t>
      </w:r>
      <w:r w:rsidR="005437A6">
        <w:rPr>
          <w:rFonts w:ascii="Times New Roman" w:hAnsi="Times New Roman" w:cs="Times New Roman"/>
          <w:sz w:val="24"/>
          <w:szCs w:val="24"/>
        </w:rPr>
        <w:t>).</w:t>
      </w:r>
    </w:p>
    <w:p w:rsidR="00021BCE" w:rsidRDefault="00021BCE" w:rsidP="00D64362">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021BCE">
        <w:rPr>
          <w:rFonts w:ascii="Times New Roman" w:hAnsi="Times New Roman" w:cs="Times New Roman"/>
          <w:sz w:val="24"/>
          <w:szCs w:val="24"/>
        </w:rPr>
        <w:t xml:space="preserve">isiko likuiditas adalah risiko yang muncul ketika perusahaan tidak mampu memenuhi kebutuhan jangka pendeknya dengan segera, baik untuk memenuhi kebutuhan transaksi sehari-hari maupun untuk memenuhi kebutuhan dana yang mendesak (Machmud dan Rukmana, 2009:135). Risiko likuiditas </w:t>
      </w:r>
      <w:r w:rsidR="00536DE8">
        <w:rPr>
          <w:rFonts w:ascii="Times New Roman" w:hAnsi="Times New Roman" w:cs="Times New Roman"/>
          <w:sz w:val="24"/>
          <w:szCs w:val="24"/>
        </w:rPr>
        <w:t xml:space="preserve">perbankan dapat di ukur dengan menggunakan </w:t>
      </w:r>
      <w:r w:rsidRPr="00536DE8">
        <w:rPr>
          <w:rFonts w:ascii="Times New Roman" w:hAnsi="Times New Roman" w:cs="Times New Roman"/>
          <w:i/>
          <w:sz w:val="24"/>
          <w:szCs w:val="24"/>
        </w:rPr>
        <w:t>Loan Deposit Ratio</w:t>
      </w:r>
      <w:r w:rsidRPr="00021BCE">
        <w:rPr>
          <w:rFonts w:ascii="Times New Roman" w:hAnsi="Times New Roman" w:cs="Times New Roman"/>
          <w:sz w:val="24"/>
          <w:szCs w:val="24"/>
        </w:rPr>
        <w:t xml:space="preserve"> (LD</w:t>
      </w:r>
      <w:r w:rsidR="00536DE8">
        <w:rPr>
          <w:rFonts w:ascii="Times New Roman" w:hAnsi="Times New Roman" w:cs="Times New Roman"/>
          <w:sz w:val="24"/>
          <w:szCs w:val="24"/>
        </w:rPr>
        <w:t xml:space="preserve">R). </w:t>
      </w:r>
    </w:p>
    <w:p w:rsidR="00B75A4F" w:rsidRDefault="00B75A4F" w:rsidP="00D64362">
      <w:pPr>
        <w:spacing w:line="360" w:lineRule="auto"/>
        <w:jc w:val="both"/>
        <w:rPr>
          <w:rFonts w:ascii="Times New Roman" w:hAnsi="Times New Roman" w:cs="Times New Roman"/>
          <w:sz w:val="24"/>
          <w:szCs w:val="24"/>
        </w:rPr>
      </w:pPr>
      <w:r w:rsidRPr="00F9043E">
        <w:rPr>
          <w:rFonts w:ascii="Times New Roman" w:hAnsi="Times New Roman" w:cs="Times New Roman"/>
          <w:sz w:val="24"/>
          <w:szCs w:val="24"/>
        </w:rPr>
        <w:t>Risiko pasar adalah kondisi yang dialami oleh perbankan yang disebabkan oleh perubahan kondisi dan situasi pasar diluar dari kendali perbankan (Fahmi, 2011:69). Risiko pasar memiliki beberapa Komponen utama, diantaranya; risiko tingkat bunga, risiko ekuitas, risiko komoditas, dan risiko mata uang (Greuning dan Bratanovic, 2011:163).  dalam hal ini peneliti fokus pada risiko tingkat bunga karena perbankan meng</w:t>
      </w:r>
      <w:r w:rsidR="00B13D3F">
        <w:rPr>
          <w:rFonts w:ascii="Times New Roman" w:hAnsi="Times New Roman" w:cs="Times New Roman"/>
          <w:sz w:val="24"/>
          <w:szCs w:val="24"/>
        </w:rPr>
        <w:t>gunakan bunga dalam segala aktiv</w:t>
      </w:r>
      <w:r w:rsidRPr="00F9043E">
        <w:rPr>
          <w:rFonts w:ascii="Times New Roman" w:hAnsi="Times New Roman" w:cs="Times New Roman"/>
          <w:sz w:val="24"/>
          <w:szCs w:val="24"/>
        </w:rPr>
        <w:t>itsnya, baik aktifitas menghimpun dana maupun menyalurkan dana. Risiko pasar pada perbankan dapat diukur dengan menggunakan rasio NIM (</w:t>
      </w:r>
      <w:r w:rsidRPr="00B13D3F">
        <w:rPr>
          <w:rFonts w:ascii="Times New Roman" w:hAnsi="Times New Roman" w:cs="Times New Roman"/>
          <w:i/>
          <w:sz w:val="24"/>
          <w:szCs w:val="24"/>
        </w:rPr>
        <w:t>Net Interest Margin</w:t>
      </w:r>
      <w:r w:rsidR="00634A0E">
        <w:rPr>
          <w:rFonts w:ascii="Times New Roman" w:hAnsi="Times New Roman" w:cs="Times New Roman"/>
          <w:sz w:val="24"/>
          <w:szCs w:val="24"/>
        </w:rPr>
        <w:t>).</w:t>
      </w:r>
    </w:p>
    <w:p w:rsidR="00634A0E" w:rsidRDefault="00C1730E" w:rsidP="00D64362">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uraian diatas maka peneliti tertarik untuk meneliti tentang risiko keuangan yang terjadi pada Perbankan di beberapa negara yang menjadi anggota ASEAN. Negara-negara yang dipilih di antaranya adalah negara Indonesia, Malaysia dan Thailand. Ketiga negara tersebut merupakan negara yang mempunyai tingkat perekonomian s</w:t>
      </w:r>
      <w:r w:rsidR="007C2E8B">
        <w:rPr>
          <w:rFonts w:ascii="Times New Roman" w:hAnsi="Times New Roman" w:cs="Times New Roman"/>
          <w:sz w:val="24"/>
          <w:szCs w:val="24"/>
        </w:rPr>
        <w:t>ebanding. Menurut situs IlmuGeografi.com ada 5 negara yang memiliki tingkat perekonomian terbaiik, yaitu Singapura berada di urutan nomor 1, Brunai darussalam berada di posisi nomor 2, dan Malaysia, Thailand dan Indonesia berada pada posisi berikutnya.</w:t>
      </w:r>
    </w:p>
    <w:p w:rsidR="0016242E" w:rsidRDefault="0016242E" w:rsidP="00D643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Rumusan masalah dalam penelitian ini adalah apakah ada perbedaan yang signifikan risiko kredit, likuiditas dan pasar pada negara Indonesia, Malaysia dan Thailand? adapun tujuan dari penulisan adalah untuk mengetahui perbedaan Risiko keuangan yang dihadapi oleh negara Indonesia, Malaysia dan Thailand. </w:t>
      </w:r>
    </w:p>
    <w:p w:rsidR="0016242E" w:rsidRPr="00994B25" w:rsidRDefault="00664704" w:rsidP="00D64362">
      <w:pPr>
        <w:pStyle w:val="ListParagraph"/>
        <w:numPr>
          <w:ilvl w:val="0"/>
          <w:numId w:val="1"/>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KAJIAN </w:t>
      </w:r>
      <w:r w:rsidR="00994B25" w:rsidRPr="00994B25">
        <w:rPr>
          <w:rFonts w:ascii="Times New Roman" w:hAnsi="Times New Roman" w:cs="Times New Roman"/>
          <w:b/>
          <w:sz w:val="24"/>
          <w:szCs w:val="24"/>
        </w:rPr>
        <w:t xml:space="preserve">TEORI </w:t>
      </w:r>
    </w:p>
    <w:p w:rsidR="009C1CC0" w:rsidRDefault="009C1CC0" w:rsidP="00D64362">
      <w:pPr>
        <w:pStyle w:val="ListParagraph"/>
        <w:numPr>
          <w:ilvl w:val="1"/>
          <w:numId w:val="1"/>
        </w:numPr>
        <w:spacing w:line="360" w:lineRule="auto"/>
        <w:ind w:left="450"/>
        <w:jc w:val="both"/>
        <w:rPr>
          <w:rFonts w:ascii="Times New Roman" w:hAnsi="Times New Roman" w:cs="Times New Roman"/>
          <w:sz w:val="24"/>
          <w:szCs w:val="24"/>
        </w:rPr>
      </w:pPr>
      <w:r w:rsidRPr="009C1CC0">
        <w:rPr>
          <w:rFonts w:ascii="Times New Roman" w:hAnsi="Times New Roman" w:cs="Times New Roman"/>
          <w:sz w:val="24"/>
          <w:szCs w:val="24"/>
        </w:rPr>
        <w:t>Risiko Kredit</w:t>
      </w:r>
    </w:p>
    <w:p w:rsidR="00DB18FB" w:rsidRPr="00882BE6" w:rsidRDefault="00B20F2F" w:rsidP="00D64362">
      <w:pPr>
        <w:pStyle w:val="ListParagraph"/>
        <w:spacing w:line="360" w:lineRule="auto"/>
        <w:ind w:left="450"/>
        <w:jc w:val="both"/>
        <w:rPr>
          <w:rFonts w:ascii="Times New Roman" w:hAnsi="Times New Roman" w:cs="Times New Roman"/>
          <w:sz w:val="24"/>
          <w:szCs w:val="24"/>
        </w:rPr>
      </w:pPr>
      <w:r w:rsidRPr="007E615C">
        <w:rPr>
          <w:rFonts w:ascii="Times New Roman" w:hAnsi="Times New Roman" w:cs="Times New Roman"/>
          <w:sz w:val="24"/>
          <w:szCs w:val="24"/>
        </w:rPr>
        <w:t xml:space="preserve">Menurut Wardiah (2013:141), risiko kredit adalah risiko yang timbul sebagai akibat kegagalan </w:t>
      </w:r>
      <w:r w:rsidR="007E615C" w:rsidRPr="007E615C">
        <w:rPr>
          <w:rFonts w:ascii="Times New Roman" w:hAnsi="Times New Roman" w:cs="Times New Roman"/>
          <w:sz w:val="24"/>
          <w:szCs w:val="24"/>
        </w:rPr>
        <w:t xml:space="preserve">suatu </w:t>
      </w:r>
      <w:r w:rsidRPr="007E615C">
        <w:rPr>
          <w:rFonts w:ascii="Times New Roman" w:hAnsi="Times New Roman" w:cs="Times New Roman"/>
          <w:sz w:val="24"/>
          <w:szCs w:val="24"/>
        </w:rPr>
        <w:t xml:space="preserve">pihak </w:t>
      </w:r>
      <w:r w:rsidR="007E615C" w:rsidRPr="007E615C">
        <w:rPr>
          <w:rFonts w:ascii="Times New Roman" w:hAnsi="Times New Roman" w:cs="Times New Roman"/>
          <w:sz w:val="24"/>
          <w:szCs w:val="24"/>
        </w:rPr>
        <w:t xml:space="preserve">dalam </w:t>
      </w:r>
      <w:r w:rsidRPr="007E615C">
        <w:rPr>
          <w:rFonts w:ascii="Times New Roman" w:hAnsi="Times New Roman" w:cs="Times New Roman"/>
          <w:sz w:val="24"/>
          <w:szCs w:val="24"/>
        </w:rPr>
        <w:t>memenuhi kewajibannya. Risiko kredit me</w:t>
      </w:r>
      <w:r w:rsidR="007E615C" w:rsidRPr="007E615C">
        <w:rPr>
          <w:rFonts w:ascii="Times New Roman" w:hAnsi="Times New Roman" w:cs="Times New Roman"/>
          <w:sz w:val="24"/>
          <w:szCs w:val="24"/>
        </w:rPr>
        <w:t>rupakan risiko yang paling rentan dihadapi oleh</w:t>
      </w:r>
      <w:r w:rsidRPr="007E615C">
        <w:rPr>
          <w:rFonts w:ascii="Times New Roman" w:hAnsi="Times New Roman" w:cs="Times New Roman"/>
          <w:sz w:val="24"/>
          <w:szCs w:val="24"/>
        </w:rPr>
        <w:t xml:space="preserve"> bank</w:t>
      </w:r>
      <w:r w:rsidR="007E615C" w:rsidRPr="007E615C">
        <w:rPr>
          <w:rFonts w:ascii="Times New Roman" w:hAnsi="Times New Roman" w:cs="Times New Roman"/>
          <w:sz w:val="24"/>
          <w:szCs w:val="24"/>
        </w:rPr>
        <w:t>, hal ini</w:t>
      </w:r>
      <w:r w:rsidRPr="007E615C">
        <w:rPr>
          <w:rFonts w:ascii="Times New Roman" w:hAnsi="Times New Roman" w:cs="Times New Roman"/>
          <w:sz w:val="24"/>
          <w:szCs w:val="24"/>
        </w:rPr>
        <w:t xml:space="preserve"> </w:t>
      </w:r>
      <w:r w:rsidR="007E615C" w:rsidRPr="007E615C">
        <w:rPr>
          <w:rFonts w:ascii="Times New Roman" w:hAnsi="Times New Roman" w:cs="Times New Roman"/>
          <w:sz w:val="24"/>
          <w:szCs w:val="24"/>
        </w:rPr>
        <w:t>di</w:t>
      </w:r>
      <w:r w:rsidRPr="007E615C">
        <w:rPr>
          <w:rFonts w:ascii="Times New Roman" w:hAnsi="Times New Roman" w:cs="Times New Roman"/>
          <w:sz w:val="24"/>
          <w:szCs w:val="24"/>
        </w:rPr>
        <w:t>karena</w:t>
      </w:r>
      <w:r w:rsidR="007E615C" w:rsidRPr="007E615C">
        <w:rPr>
          <w:rFonts w:ascii="Times New Roman" w:hAnsi="Times New Roman" w:cs="Times New Roman"/>
          <w:sz w:val="24"/>
          <w:szCs w:val="24"/>
        </w:rPr>
        <w:t>kan produk utama bank adalah memberikan pinjaman (kredit) kepada para nasabah.</w:t>
      </w:r>
      <w:r w:rsidRPr="00B20F2F">
        <w:rPr>
          <w:rFonts w:ascii="Times New Roman" w:hAnsi="Times New Roman" w:cs="Times New Roman"/>
          <w:color w:val="FF0000"/>
          <w:sz w:val="24"/>
          <w:szCs w:val="24"/>
        </w:rPr>
        <w:t xml:space="preserve"> </w:t>
      </w:r>
      <w:r w:rsidR="00DB18FB" w:rsidRPr="007E615C">
        <w:rPr>
          <w:rFonts w:ascii="Times New Roman" w:hAnsi="Times New Roman" w:cs="Times New Roman"/>
          <w:sz w:val="24"/>
          <w:szCs w:val="24"/>
        </w:rPr>
        <w:t xml:space="preserve">Risiko </w:t>
      </w:r>
      <w:r w:rsidRPr="007E615C">
        <w:rPr>
          <w:rFonts w:ascii="Times New Roman" w:hAnsi="Times New Roman" w:cs="Times New Roman"/>
          <w:sz w:val="24"/>
          <w:szCs w:val="24"/>
        </w:rPr>
        <w:t xml:space="preserve">kredit </w:t>
      </w:r>
      <w:r w:rsidR="007E615C" w:rsidRPr="007E615C">
        <w:rPr>
          <w:rFonts w:ascii="Times New Roman" w:hAnsi="Times New Roman" w:cs="Times New Roman"/>
          <w:sz w:val="24"/>
          <w:szCs w:val="24"/>
        </w:rPr>
        <w:t xml:space="preserve">merupakan </w:t>
      </w:r>
      <w:r w:rsidRPr="007E615C">
        <w:rPr>
          <w:rFonts w:ascii="Times New Roman" w:hAnsi="Times New Roman" w:cs="Times New Roman"/>
          <w:sz w:val="24"/>
          <w:szCs w:val="24"/>
        </w:rPr>
        <w:t xml:space="preserve">risiko </w:t>
      </w:r>
      <w:r w:rsidR="007E615C" w:rsidRPr="007E615C">
        <w:rPr>
          <w:rFonts w:ascii="Times New Roman" w:hAnsi="Times New Roman" w:cs="Times New Roman"/>
          <w:sz w:val="24"/>
          <w:szCs w:val="24"/>
        </w:rPr>
        <w:t xml:space="preserve">yang timbul </w:t>
      </w:r>
      <w:r w:rsidRPr="007E615C">
        <w:rPr>
          <w:rFonts w:ascii="Times New Roman" w:hAnsi="Times New Roman" w:cs="Times New Roman"/>
          <w:sz w:val="24"/>
          <w:szCs w:val="24"/>
        </w:rPr>
        <w:t>akibat terjadinya kredit</w:t>
      </w:r>
      <w:r w:rsidR="007E615C" w:rsidRPr="007E615C">
        <w:rPr>
          <w:rFonts w:ascii="Times New Roman" w:hAnsi="Times New Roman" w:cs="Times New Roman"/>
          <w:sz w:val="24"/>
          <w:szCs w:val="24"/>
        </w:rPr>
        <w:t xml:space="preserve"> tak tertagih/ kredit</w:t>
      </w:r>
      <w:r w:rsidRPr="007E615C">
        <w:rPr>
          <w:rFonts w:ascii="Times New Roman" w:hAnsi="Times New Roman" w:cs="Times New Roman"/>
          <w:sz w:val="24"/>
          <w:szCs w:val="24"/>
        </w:rPr>
        <w:t xml:space="preserve"> macet. Kredit macet dapat terjadi akibat debitur tidak mampu melunasi pokok pinjaman dan bunganya (Sulhan dan Siswanto, 2008:118). Kredit macet dalam </w:t>
      </w:r>
      <w:r w:rsidR="007E615C" w:rsidRPr="007E615C">
        <w:rPr>
          <w:rFonts w:ascii="Times New Roman" w:hAnsi="Times New Roman" w:cs="Times New Roman"/>
          <w:sz w:val="24"/>
          <w:szCs w:val="24"/>
        </w:rPr>
        <w:t>perbankan</w:t>
      </w:r>
      <w:r w:rsidRPr="007E615C">
        <w:rPr>
          <w:rFonts w:ascii="Times New Roman" w:hAnsi="Times New Roman" w:cs="Times New Roman"/>
          <w:sz w:val="24"/>
          <w:szCs w:val="24"/>
        </w:rPr>
        <w:t xml:space="preserve"> dapat diukur dengan menggunakan rasio </w:t>
      </w:r>
      <w:r w:rsidRPr="007E615C">
        <w:rPr>
          <w:rFonts w:ascii="Times New Roman" w:hAnsi="Times New Roman" w:cs="Times New Roman"/>
          <w:i/>
          <w:sz w:val="24"/>
          <w:szCs w:val="24"/>
        </w:rPr>
        <w:t>non performing loan</w:t>
      </w:r>
      <w:r w:rsidRPr="007E615C">
        <w:rPr>
          <w:rFonts w:ascii="Times New Roman" w:hAnsi="Times New Roman" w:cs="Times New Roman"/>
          <w:sz w:val="24"/>
          <w:szCs w:val="24"/>
        </w:rPr>
        <w:t xml:space="preserve"> (NPL). </w:t>
      </w:r>
      <w:r w:rsidR="007E615C">
        <w:rPr>
          <w:rFonts w:ascii="Times New Roman" w:hAnsi="Times New Roman" w:cs="Times New Roman"/>
          <w:sz w:val="24"/>
          <w:szCs w:val="24"/>
        </w:rPr>
        <w:t xml:space="preserve">Rasio </w:t>
      </w:r>
      <w:r w:rsidRPr="007E615C">
        <w:rPr>
          <w:rFonts w:ascii="Times New Roman" w:hAnsi="Times New Roman" w:cs="Times New Roman"/>
          <w:sz w:val="24"/>
          <w:szCs w:val="24"/>
        </w:rPr>
        <w:t xml:space="preserve">NPL digunakan </w:t>
      </w:r>
      <w:r w:rsidR="007E615C">
        <w:rPr>
          <w:rFonts w:ascii="Times New Roman" w:hAnsi="Times New Roman" w:cs="Times New Roman"/>
          <w:sz w:val="24"/>
          <w:szCs w:val="24"/>
        </w:rPr>
        <w:t>untuk mengukur pe</w:t>
      </w:r>
      <w:r w:rsidRPr="007E615C">
        <w:rPr>
          <w:rFonts w:ascii="Times New Roman" w:hAnsi="Times New Roman" w:cs="Times New Roman"/>
          <w:sz w:val="24"/>
          <w:szCs w:val="24"/>
        </w:rPr>
        <w:t>rsentase jumlah kredit bermaslah terhadap total kre</w:t>
      </w:r>
      <w:r w:rsidR="00A644ED" w:rsidRPr="007E615C">
        <w:rPr>
          <w:rFonts w:ascii="Times New Roman" w:hAnsi="Times New Roman" w:cs="Times New Roman"/>
          <w:sz w:val="24"/>
          <w:szCs w:val="24"/>
        </w:rPr>
        <w:t>dit</w:t>
      </w:r>
      <w:r w:rsidR="007E615C">
        <w:rPr>
          <w:rFonts w:ascii="Times New Roman" w:hAnsi="Times New Roman" w:cs="Times New Roman"/>
          <w:sz w:val="24"/>
          <w:szCs w:val="24"/>
        </w:rPr>
        <w:t xml:space="preserve"> Perbankan</w:t>
      </w:r>
      <w:r w:rsidR="00A644ED" w:rsidRPr="007E615C">
        <w:rPr>
          <w:rFonts w:ascii="Times New Roman" w:hAnsi="Times New Roman" w:cs="Times New Roman"/>
          <w:sz w:val="24"/>
          <w:szCs w:val="24"/>
        </w:rPr>
        <w:t>.</w:t>
      </w:r>
      <w:r w:rsidR="006E754F">
        <w:rPr>
          <w:rFonts w:ascii="Times New Roman" w:hAnsi="Times New Roman" w:cs="Times New Roman"/>
          <w:sz w:val="24"/>
          <w:szCs w:val="24"/>
        </w:rPr>
        <w:t xml:space="preserve"> Jumlah maksimum risiko kredit juga diatur dalam Peraturan Bank </w:t>
      </w:r>
      <w:r w:rsidR="006E754F" w:rsidRPr="006E754F">
        <w:rPr>
          <w:rFonts w:ascii="Times New Roman" w:hAnsi="Times New Roman" w:cs="Times New Roman"/>
          <w:sz w:val="24"/>
          <w:szCs w:val="24"/>
        </w:rPr>
        <w:t>Indonesia NOMOR 17/11/PBI/2015</w:t>
      </w:r>
      <w:r w:rsidR="006E754F">
        <w:rPr>
          <w:rFonts w:ascii="Times New Roman" w:hAnsi="Times New Roman" w:cs="Times New Roman"/>
          <w:sz w:val="24"/>
          <w:szCs w:val="24"/>
        </w:rPr>
        <w:t xml:space="preserve">, dalam peraturan tersebut Bank Indonesia menetapkan bahwa rasio NPL harus </w:t>
      </w:r>
      <w:r w:rsidR="006E754F" w:rsidRPr="006E754F">
        <w:rPr>
          <w:rFonts w:ascii="Times New Roman" w:hAnsi="Times New Roman" w:cs="Times New Roman"/>
          <w:sz w:val="24"/>
          <w:szCs w:val="24"/>
        </w:rPr>
        <w:t>≤ 5%.</w:t>
      </w:r>
      <w:r w:rsidR="006E754F">
        <w:rPr>
          <w:rFonts w:ascii="Times New Roman" w:hAnsi="Times New Roman" w:cs="Times New Roman"/>
          <w:sz w:val="24"/>
          <w:szCs w:val="24"/>
        </w:rPr>
        <w:t xml:space="preserve"> Artinya, jika rasio NPL kurang dari 5%, maka risiko kredit yang dialami perbankan kecil, semakin kecil nilai rasio kredit, maka kinerja perbankan semakin bagus. Begitu juga sebaliknya, apabila rasio kredit suatu perbankan menunjukkan rasio diatas 5%, maka perbankan sedang mengahadapi risiko kredit yang besar. </w:t>
      </w:r>
      <w:r w:rsidR="00900651" w:rsidRPr="00882BE6">
        <w:rPr>
          <w:rFonts w:ascii="Times New Roman" w:hAnsi="Times New Roman" w:cs="Times New Roman"/>
          <w:sz w:val="24"/>
          <w:szCs w:val="24"/>
        </w:rPr>
        <w:t xml:space="preserve">Rumus rasio </w:t>
      </w:r>
      <w:r w:rsidR="00900651" w:rsidRPr="00957E16">
        <w:rPr>
          <w:rFonts w:ascii="Times New Roman" w:hAnsi="Times New Roman" w:cs="Times New Roman"/>
          <w:i/>
          <w:sz w:val="24"/>
          <w:szCs w:val="24"/>
        </w:rPr>
        <w:t>Non Performing Loan</w:t>
      </w:r>
      <w:r w:rsidR="00900651" w:rsidRPr="00882BE6">
        <w:rPr>
          <w:rFonts w:ascii="Times New Roman" w:hAnsi="Times New Roman" w:cs="Times New Roman"/>
          <w:sz w:val="24"/>
          <w:szCs w:val="24"/>
        </w:rPr>
        <w:t xml:space="preserve"> adalah sebagai berikut (Chen, 2014:8):</w:t>
      </w:r>
    </w:p>
    <w:p w:rsidR="00900651" w:rsidRPr="00882BE6" w:rsidRDefault="00900651" w:rsidP="00D64362">
      <w:pPr>
        <w:pStyle w:val="ListParagraph"/>
        <w:spacing w:line="360" w:lineRule="auto"/>
        <w:ind w:left="450"/>
        <w:jc w:val="both"/>
        <w:rPr>
          <w:rFonts w:ascii="Times New Roman" w:hAnsi="Times New Roman" w:cs="Times New Roman"/>
          <w:sz w:val="24"/>
          <w:szCs w:val="24"/>
        </w:rPr>
      </w:pPr>
      <m:oMathPara>
        <m:oMath>
          <m:r>
            <w:rPr>
              <w:rFonts w:ascii="Cambria Math" w:hAnsi="Cambria Math" w:cs="Times New Roman"/>
              <w:sz w:val="24"/>
              <w:szCs w:val="24"/>
            </w:rPr>
            <m:t>Non Performing Loan=</m:t>
          </m:r>
          <m:f>
            <m:fPr>
              <m:ctrlPr>
                <w:rPr>
                  <w:rFonts w:ascii="Cambria Math" w:hAnsi="Cambria Math" w:cs="Times New Roman"/>
                  <w:i/>
                  <w:sz w:val="24"/>
                  <w:szCs w:val="24"/>
                </w:rPr>
              </m:ctrlPr>
            </m:fPr>
            <m:num>
              <m:r>
                <w:rPr>
                  <w:rFonts w:ascii="Cambria Math" w:hAnsi="Cambria Math" w:cs="Times New Roman"/>
                  <w:sz w:val="24"/>
                  <w:szCs w:val="24"/>
                </w:rPr>
                <m:t>total non performing loans</m:t>
              </m:r>
            </m:num>
            <m:den>
              <m:r>
                <w:rPr>
                  <w:rFonts w:ascii="Cambria Math" w:hAnsi="Cambria Math" w:cs="Times New Roman"/>
                  <w:sz w:val="24"/>
                  <w:szCs w:val="24"/>
                </w:rPr>
                <m:t>total or gross loans</m:t>
              </m:r>
            </m:den>
          </m:f>
        </m:oMath>
      </m:oMathPara>
    </w:p>
    <w:p w:rsidR="009C1CC0" w:rsidRPr="00882BE6" w:rsidRDefault="009C1CC0" w:rsidP="00D64362">
      <w:pPr>
        <w:pStyle w:val="ListParagraph"/>
        <w:numPr>
          <w:ilvl w:val="1"/>
          <w:numId w:val="1"/>
        </w:numPr>
        <w:spacing w:line="360" w:lineRule="auto"/>
        <w:ind w:left="450"/>
        <w:jc w:val="both"/>
        <w:rPr>
          <w:rFonts w:ascii="Times New Roman" w:hAnsi="Times New Roman" w:cs="Times New Roman"/>
          <w:sz w:val="24"/>
          <w:szCs w:val="24"/>
        </w:rPr>
      </w:pPr>
      <w:r w:rsidRPr="00882BE6">
        <w:rPr>
          <w:rFonts w:ascii="Times New Roman" w:hAnsi="Times New Roman" w:cs="Times New Roman"/>
          <w:sz w:val="24"/>
          <w:szCs w:val="24"/>
        </w:rPr>
        <w:t>Risiko Likuiditas</w:t>
      </w:r>
    </w:p>
    <w:p w:rsidR="007645EB" w:rsidRDefault="00A5375C" w:rsidP="00D64362">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Rasio Likuiditas bank menurut Kasmir (2015;221) adalah rasio yang digunakan untuk mengukur kemampuan bank dalam memenuhi kewajiaban jangka pendeknya. Artinya, ketika para nasabah bank menagih untuk mengambil tabungan, bank dapat memenuhi permintaan nasabah dengan segera.</w:t>
      </w:r>
      <w:r w:rsidR="007645EB">
        <w:rPr>
          <w:rFonts w:ascii="Times New Roman" w:hAnsi="Times New Roman" w:cs="Times New Roman"/>
          <w:sz w:val="24"/>
          <w:szCs w:val="24"/>
        </w:rPr>
        <w:t xml:space="preserve"> Risiko likuiditas merupakan besaran risiko yang akan dihadapi bank apabila bank tidak mampu memenuhi kewajiban terhadap para nasabah dengan dana likuid yang dimilkiki oleh bank.</w:t>
      </w:r>
    </w:p>
    <w:p w:rsidR="009C1CC0" w:rsidRDefault="007645EB" w:rsidP="00D64362">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Risiko Likuiditas Perbankan dapat diukur dengan menggunakan </w:t>
      </w:r>
      <w:r w:rsidRPr="007645EB">
        <w:rPr>
          <w:rFonts w:ascii="Times New Roman" w:hAnsi="Times New Roman" w:cs="Times New Roman"/>
          <w:i/>
          <w:sz w:val="24"/>
          <w:szCs w:val="24"/>
        </w:rPr>
        <w:t>Loan to Deposit Ratio</w:t>
      </w:r>
      <w:r>
        <w:rPr>
          <w:rFonts w:ascii="Times New Roman" w:hAnsi="Times New Roman" w:cs="Times New Roman"/>
          <w:sz w:val="24"/>
          <w:szCs w:val="24"/>
        </w:rPr>
        <w:t xml:space="preserve"> (LDR). LDR adalah rasio yang membandingkan jumlah kredit yang diberikan kepada </w:t>
      </w:r>
      <w:r>
        <w:rPr>
          <w:rFonts w:ascii="Times New Roman" w:hAnsi="Times New Roman" w:cs="Times New Roman"/>
          <w:sz w:val="24"/>
          <w:szCs w:val="24"/>
        </w:rPr>
        <w:lastRenderedPageBreak/>
        <w:t>para nasabah dengan jumlah dana yang dihimpun dari masyarakat ditambah dengan total modal yang dimiliki oleh perbankan.</w:t>
      </w:r>
    </w:p>
    <w:p w:rsidR="00A5375C" w:rsidRDefault="007645EB" w:rsidP="00D64362">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S</w:t>
      </w:r>
      <w:r w:rsidR="00A5375C">
        <w:rPr>
          <w:rFonts w:ascii="Times New Roman" w:hAnsi="Times New Roman" w:cs="Times New Roman"/>
          <w:sz w:val="24"/>
          <w:szCs w:val="24"/>
        </w:rPr>
        <w:t xml:space="preserve">emakin besar nilai rasio likuiditas, maka bank tersebut </w:t>
      </w:r>
      <w:r>
        <w:rPr>
          <w:rFonts w:ascii="Times New Roman" w:hAnsi="Times New Roman" w:cs="Times New Roman"/>
          <w:sz w:val="24"/>
          <w:szCs w:val="24"/>
        </w:rPr>
        <w:t xml:space="preserve">dapat dikatakan semakin likuid. Artinya, semakin besar rasio LDR maka risiko yang akan dihadapi bank semakin kecil, </w:t>
      </w:r>
      <w:r w:rsidR="00984262" w:rsidRPr="00984262">
        <w:rPr>
          <w:rFonts w:ascii="Times New Roman" w:hAnsi="Times New Roman" w:cs="Times New Roman"/>
          <w:sz w:val="24"/>
          <w:szCs w:val="24"/>
        </w:rPr>
        <w:t>Berdasarkan Peraturan Bank Indonesia No. 17/11/PBI/2015 tanggal 25 Juni 2015, mengatur bahwa batas bawah LDR</w:t>
      </w:r>
      <w:r w:rsidR="00C247A4">
        <w:rPr>
          <w:rFonts w:ascii="Times New Roman" w:hAnsi="Times New Roman" w:cs="Times New Roman"/>
          <w:sz w:val="24"/>
          <w:szCs w:val="24"/>
        </w:rPr>
        <w:t xml:space="preserve"> adalah</w:t>
      </w:r>
      <w:r w:rsidR="00984262">
        <w:rPr>
          <w:rFonts w:ascii="Times New Roman" w:hAnsi="Times New Roman" w:cs="Times New Roman"/>
          <w:sz w:val="24"/>
          <w:szCs w:val="24"/>
        </w:rPr>
        <w:t xml:space="preserve"> 78%</w:t>
      </w:r>
      <w:r w:rsidR="00984262" w:rsidRPr="00984262">
        <w:rPr>
          <w:rFonts w:ascii="Times New Roman" w:hAnsi="Times New Roman" w:cs="Times New Roman"/>
          <w:sz w:val="24"/>
          <w:szCs w:val="24"/>
        </w:rPr>
        <w:t xml:space="preserve"> sedangkan batas atas</w:t>
      </w:r>
      <w:r w:rsidR="00984262">
        <w:rPr>
          <w:rFonts w:ascii="Times New Roman" w:hAnsi="Times New Roman" w:cs="Times New Roman"/>
          <w:sz w:val="24"/>
          <w:szCs w:val="24"/>
        </w:rPr>
        <w:t>nya ditetapkan sebesar 92%</w:t>
      </w:r>
      <w:r w:rsidR="00C247A4">
        <w:rPr>
          <w:rFonts w:ascii="Times New Roman" w:hAnsi="Times New Roman" w:cs="Times New Roman"/>
          <w:sz w:val="24"/>
          <w:szCs w:val="24"/>
        </w:rPr>
        <w:t xml:space="preserve"> (infobanknews.com)</w:t>
      </w:r>
      <w:r w:rsidR="00984262">
        <w:rPr>
          <w:rFonts w:ascii="Times New Roman" w:hAnsi="Times New Roman" w:cs="Times New Roman"/>
          <w:sz w:val="24"/>
          <w:szCs w:val="24"/>
        </w:rPr>
        <w:t xml:space="preserve">. </w:t>
      </w:r>
      <w:r>
        <w:rPr>
          <w:rFonts w:ascii="Times New Roman" w:hAnsi="Times New Roman" w:cs="Times New Roman"/>
          <w:sz w:val="24"/>
          <w:szCs w:val="24"/>
        </w:rPr>
        <w:t>Apabila sebuah bank mempunya</w:t>
      </w:r>
      <w:r w:rsidR="00984262">
        <w:rPr>
          <w:rFonts w:ascii="Times New Roman" w:hAnsi="Times New Roman" w:cs="Times New Roman"/>
          <w:sz w:val="24"/>
          <w:szCs w:val="24"/>
        </w:rPr>
        <w:t>i nilai rasio LDR lebih dari 92</w:t>
      </w:r>
      <w:r>
        <w:rPr>
          <w:rFonts w:ascii="Times New Roman" w:hAnsi="Times New Roman" w:cs="Times New Roman"/>
          <w:sz w:val="24"/>
          <w:szCs w:val="24"/>
        </w:rPr>
        <w:t>% maka bank tersebut tidak dapat memanfaatkan dananya dengan baik untuk kegiatan operasional perusahaan, artinya terlalu banyak dana yang menganggur tanpa di salurkan kepada masyarakat.</w:t>
      </w:r>
    </w:p>
    <w:p w:rsidR="009C1CC0" w:rsidRDefault="007645EB" w:rsidP="00D64362">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R</w:t>
      </w:r>
      <w:r w:rsidR="007851CC">
        <w:rPr>
          <w:rFonts w:ascii="Times New Roman" w:hAnsi="Times New Roman" w:cs="Times New Roman"/>
          <w:sz w:val="24"/>
          <w:szCs w:val="24"/>
        </w:rPr>
        <w:t xml:space="preserve">umus </w:t>
      </w:r>
      <w:r w:rsidR="007851CC" w:rsidRPr="007851CC">
        <w:rPr>
          <w:rFonts w:ascii="Times New Roman" w:hAnsi="Times New Roman" w:cs="Times New Roman"/>
          <w:i/>
          <w:sz w:val="24"/>
          <w:szCs w:val="24"/>
        </w:rPr>
        <w:t>Loan to deposit rat</w:t>
      </w:r>
      <w:r w:rsidR="009C1CC0" w:rsidRPr="007851CC">
        <w:rPr>
          <w:rFonts w:ascii="Times New Roman" w:hAnsi="Times New Roman" w:cs="Times New Roman"/>
          <w:i/>
          <w:sz w:val="24"/>
          <w:szCs w:val="24"/>
        </w:rPr>
        <w:t>io</w:t>
      </w:r>
      <w:r w:rsidR="009C1CC0">
        <w:rPr>
          <w:rFonts w:ascii="Times New Roman" w:hAnsi="Times New Roman" w:cs="Times New Roman"/>
          <w:sz w:val="24"/>
          <w:szCs w:val="24"/>
        </w:rPr>
        <w:t xml:space="preserve"> menurut Kasmir (2015;226) adalah;</w:t>
      </w:r>
    </w:p>
    <w:p w:rsidR="009C1CC0" w:rsidRDefault="00852CB6" w:rsidP="00D64362">
      <w:pPr>
        <w:pStyle w:val="ListParagraph"/>
        <w:spacing w:line="360" w:lineRule="auto"/>
        <w:ind w:left="450"/>
        <w:jc w:val="both"/>
        <w:rPr>
          <w:rFonts w:ascii="Times New Roman" w:hAnsi="Times New Roman" w:cs="Times New Roman"/>
          <w:sz w:val="24"/>
          <w:szCs w:val="24"/>
        </w:rPr>
      </w:pPr>
      <m:oMathPara>
        <m:oMath>
          <m:r>
            <w:rPr>
              <w:rFonts w:ascii="Cambria Math" w:hAnsi="Cambria Math" w:cs="Times New Roman"/>
              <w:sz w:val="24"/>
              <w:szCs w:val="24"/>
            </w:rPr>
            <m:t>Loan to Deposit Ratio=</m:t>
          </m:r>
          <m:f>
            <m:fPr>
              <m:ctrlPr>
                <w:rPr>
                  <w:rFonts w:ascii="Cambria Math" w:hAnsi="Cambria Math" w:cs="Times New Roman"/>
                  <w:i/>
                  <w:sz w:val="24"/>
                  <w:szCs w:val="24"/>
                </w:rPr>
              </m:ctrlPr>
            </m:fPr>
            <m:num>
              <m:r>
                <w:rPr>
                  <w:rFonts w:ascii="Cambria Math" w:hAnsi="Cambria Math" w:cs="Times New Roman"/>
                  <w:sz w:val="24"/>
                  <w:szCs w:val="24"/>
                </w:rPr>
                <m:t>Total Loan</m:t>
              </m:r>
            </m:num>
            <m:den>
              <m:r>
                <w:rPr>
                  <w:rFonts w:ascii="Cambria Math" w:hAnsi="Cambria Math" w:cs="Times New Roman"/>
                  <w:sz w:val="24"/>
                  <w:szCs w:val="24"/>
                </w:rPr>
                <m:t>Total Deposit+Equity</m:t>
              </m:r>
            </m:den>
          </m:f>
        </m:oMath>
      </m:oMathPara>
    </w:p>
    <w:p w:rsidR="009C1CC0" w:rsidRDefault="009C1CC0" w:rsidP="00D64362">
      <w:pPr>
        <w:pStyle w:val="ListParagraph"/>
        <w:numPr>
          <w:ilvl w:val="1"/>
          <w:numId w:val="1"/>
        </w:numPr>
        <w:spacing w:line="360" w:lineRule="auto"/>
        <w:ind w:left="450"/>
        <w:jc w:val="both"/>
        <w:rPr>
          <w:rFonts w:ascii="Times New Roman" w:hAnsi="Times New Roman" w:cs="Times New Roman"/>
          <w:sz w:val="24"/>
          <w:szCs w:val="24"/>
        </w:rPr>
      </w:pPr>
      <w:r w:rsidRPr="009C1CC0">
        <w:rPr>
          <w:rFonts w:ascii="Times New Roman" w:hAnsi="Times New Roman" w:cs="Times New Roman"/>
          <w:sz w:val="24"/>
          <w:szCs w:val="24"/>
        </w:rPr>
        <w:t>Risiko Pasar</w:t>
      </w:r>
    </w:p>
    <w:p w:rsidR="00DB18FB" w:rsidRDefault="003C7DC4" w:rsidP="00D64362">
      <w:pPr>
        <w:pStyle w:val="ListParagraph"/>
        <w:spacing w:line="360" w:lineRule="auto"/>
        <w:ind w:left="450"/>
        <w:jc w:val="both"/>
        <w:rPr>
          <w:rFonts w:ascii="Times New Roman" w:hAnsi="Times New Roman" w:cs="Times New Roman"/>
          <w:color w:val="FF0000"/>
          <w:sz w:val="24"/>
          <w:szCs w:val="24"/>
        </w:rPr>
      </w:pPr>
      <w:r w:rsidRPr="002E2E5E">
        <w:rPr>
          <w:rFonts w:ascii="Times New Roman" w:hAnsi="Times New Roman" w:cs="Times New Roman"/>
          <w:sz w:val="24"/>
          <w:szCs w:val="24"/>
        </w:rPr>
        <w:t>R</w:t>
      </w:r>
      <w:r w:rsidR="00DB18FB" w:rsidRPr="002E2E5E">
        <w:rPr>
          <w:rFonts w:ascii="Times New Roman" w:hAnsi="Times New Roman" w:cs="Times New Roman"/>
          <w:sz w:val="24"/>
          <w:szCs w:val="24"/>
        </w:rPr>
        <w:t>isiko pasar</w:t>
      </w:r>
      <w:r w:rsidRPr="002E2E5E">
        <w:rPr>
          <w:rFonts w:ascii="Times New Roman" w:hAnsi="Times New Roman" w:cs="Times New Roman"/>
          <w:sz w:val="24"/>
          <w:szCs w:val="24"/>
        </w:rPr>
        <w:t xml:space="preserve"> Menurut Greuning dan Bratanovic (2011:163)</w:t>
      </w:r>
      <w:r w:rsidR="00DB18FB" w:rsidRPr="002E2E5E">
        <w:rPr>
          <w:rFonts w:ascii="Times New Roman" w:hAnsi="Times New Roman" w:cs="Times New Roman"/>
          <w:sz w:val="24"/>
          <w:szCs w:val="24"/>
        </w:rPr>
        <w:t xml:space="preserve"> adalah risiko dari suatu entitas yang mungkin mengalami kerugian sebagai akibat dan fluktuasi pergerakan harga pasar, karena perubahan harga (volatilitas) instrument-instrumen pendapatan tetap, instrument-instrumen ekuitas, komoditas, kurs mata uang, dan kontrak- kontrak diluar neraca terkait.</w:t>
      </w:r>
      <w:r w:rsidR="00DB18FB" w:rsidRPr="00DB18FB">
        <w:rPr>
          <w:rFonts w:ascii="Times New Roman" w:hAnsi="Times New Roman" w:cs="Times New Roman"/>
          <w:color w:val="FF0000"/>
          <w:sz w:val="24"/>
          <w:szCs w:val="24"/>
        </w:rPr>
        <w:t xml:space="preserve"> </w:t>
      </w:r>
      <w:r w:rsidR="00A87845" w:rsidRPr="00A87845">
        <w:rPr>
          <w:rFonts w:ascii="Times New Roman" w:hAnsi="Times New Roman" w:cs="Times New Roman"/>
          <w:sz w:val="24"/>
          <w:szCs w:val="24"/>
        </w:rPr>
        <w:t>Risiko Pasar mempunyai beberapa komponen diantaranya;</w:t>
      </w:r>
      <w:r w:rsidR="00DB18FB" w:rsidRPr="00A87845">
        <w:rPr>
          <w:rFonts w:ascii="Times New Roman" w:hAnsi="Times New Roman" w:cs="Times New Roman"/>
          <w:sz w:val="24"/>
          <w:szCs w:val="24"/>
        </w:rPr>
        <w:t xml:space="preserve"> risiko tingkat bunga, risiko ekuitas, risiko komoditas, dan risiko mata uang.</w:t>
      </w:r>
      <w:r w:rsidR="00DB18FB" w:rsidRPr="00DB18FB">
        <w:rPr>
          <w:rFonts w:ascii="Times New Roman" w:hAnsi="Times New Roman" w:cs="Times New Roman"/>
          <w:color w:val="FF0000"/>
          <w:sz w:val="24"/>
          <w:szCs w:val="24"/>
        </w:rPr>
        <w:t xml:space="preserve"> </w:t>
      </w:r>
      <w:r w:rsidR="00A87845" w:rsidRPr="00A87845">
        <w:rPr>
          <w:rFonts w:ascii="Times New Roman" w:hAnsi="Times New Roman" w:cs="Times New Roman"/>
          <w:sz w:val="24"/>
          <w:szCs w:val="24"/>
        </w:rPr>
        <w:t>Penelitian ini mengadopsi risiko tingkat bunga sebagai perwakilan dari risiko pasar, hal ini dipertimbangkan karena perbankan merupakan lembaga keuangan yang tidak lepas dari bunga dalam setiap aktifitasnya.</w:t>
      </w:r>
      <w:r w:rsidR="00A87845">
        <w:rPr>
          <w:rFonts w:ascii="Times New Roman" w:hAnsi="Times New Roman" w:cs="Times New Roman"/>
          <w:color w:val="FF0000"/>
          <w:sz w:val="24"/>
          <w:szCs w:val="24"/>
        </w:rPr>
        <w:t xml:space="preserve"> </w:t>
      </w:r>
      <w:r w:rsidR="00A87845" w:rsidRPr="007A4523">
        <w:rPr>
          <w:rFonts w:ascii="Times New Roman" w:hAnsi="Times New Roman" w:cs="Times New Roman"/>
          <w:sz w:val="24"/>
          <w:szCs w:val="24"/>
        </w:rPr>
        <w:t>R</w:t>
      </w:r>
      <w:r w:rsidR="00DB18FB" w:rsidRPr="007A4523">
        <w:rPr>
          <w:rFonts w:ascii="Times New Roman" w:hAnsi="Times New Roman" w:cs="Times New Roman"/>
          <w:sz w:val="24"/>
          <w:szCs w:val="24"/>
        </w:rPr>
        <w:t xml:space="preserve">isiko tingkat bunga </w:t>
      </w:r>
      <w:r w:rsidR="007A4523">
        <w:rPr>
          <w:rFonts w:ascii="Times New Roman" w:hAnsi="Times New Roman" w:cs="Times New Roman"/>
          <w:sz w:val="24"/>
          <w:szCs w:val="24"/>
        </w:rPr>
        <w:t>menurut Fahmi (2011;104) adalah</w:t>
      </w:r>
      <w:r w:rsidR="00DB18FB" w:rsidRPr="007A4523">
        <w:rPr>
          <w:rFonts w:ascii="Times New Roman" w:hAnsi="Times New Roman" w:cs="Times New Roman"/>
          <w:sz w:val="24"/>
          <w:szCs w:val="24"/>
        </w:rPr>
        <w:t xml:space="preserve"> risiko yang disebabkan karena berubahnya tingkat suku bunga (</w:t>
      </w:r>
      <w:r w:rsidR="00DB18FB" w:rsidRPr="009776C5">
        <w:rPr>
          <w:rFonts w:ascii="Times New Roman" w:hAnsi="Times New Roman" w:cs="Times New Roman"/>
          <w:i/>
          <w:sz w:val="24"/>
          <w:szCs w:val="24"/>
        </w:rPr>
        <w:t>Interest rate</w:t>
      </w:r>
      <w:r w:rsidR="00DB18FB" w:rsidRPr="007A4523">
        <w:rPr>
          <w:rFonts w:ascii="Times New Roman" w:hAnsi="Times New Roman" w:cs="Times New Roman"/>
          <w:sz w:val="24"/>
          <w:szCs w:val="24"/>
        </w:rPr>
        <w:t>) yang menyebabkan suatu perusahaan mengahadapi dua tipe risiko selanjutnya, yakni risiko perubahan pendapatan dan risiko perubahan nilai pasar</w:t>
      </w:r>
      <w:r w:rsidR="007A4523">
        <w:rPr>
          <w:rFonts w:ascii="Times New Roman" w:hAnsi="Times New Roman" w:cs="Times New Roman"/>
          <w:sz w:val="24"/>
          <w:szCs w:val="24"/>
        </w:rPr>
        <w:t>. Penguku</w:t>
      </w:r>
      <w:r w:rsidR="007A4523" w:rsidRPr="007A4523">
        <w:rPr>
          <w:rFonts w:ascii="Times New Roman" w:hAnsi="Times New Roman" w:cs="Times New Roman"/>
          <w:sz w:val="24"/>
          <w:szCs w:val="24"/>
        </w:rPr>
        <w:t xml:space="preserve">ran </w:t>
      </w:r>
      <w:r w:rsidR="00DB18FB" w:rsidRPr="007A4523">
        <w:rPr>
          <w:rFonts w:ascii="Times New Roman" w:hAnsi="Times New Roman" w:cs="Times New Roman"/>
          <w:sz w:val="24"/>
          <w:szCs w:val="24"/>
        </w:rPr>
        <w:t>Risiko pasar dalam penelitian ini menggunakan rasio Net interest Margin (NIM).</w:t>
      </w:r>
      <w:r w:rsidR="00CF3A96">
        <w:rPr>
          <w:rFonts w:ascii="Times New Roman" w:hAnsi="Times New Roman" w:cs="Times New Roman"/>
          <w:sz w:val="24"/>
          <w:szCs w:val="24"/>
        </w:rPr>
        <w:t xml:space="preserve"> </w:t>
      </w:r>
    </w:p>
    <w:p w:rsidR="009C1CC0" w:rsidRPr="00882BE6" w:rsidRDefault="00DB18FB" w:rsidP="00D64362">
      <w:pPr>
        <w:pStyle w:val="ListParagraph"/>
        <w:spacing w:line="360" w:lineRule="auto"/>
        <w:ind w:left="450"/>
        <w:jc w:val="both"/>
        <w:rPr>
          <w:rFonts w:ascii="Times New Roman" w:hAnsi="Times New Roman" w:cs="Times New Roman"/>
          <w:sz w:val="24"/>
          <w:szCs w:val="24"/>
        </w:rPr>
      </w:pPr>
      <w:r w:rsidRPr="001F128B">
        <w:rPr>
          <w:rFonts w:ascii="Times New Roman" w:hAnsi="Times New Roman" w:cs="Times New Roman"/>
          <w:sz w:val="24"/>
          <w:szCs w:val="24"/>
        </w:rPr>
        <w:t xml:space="preserve">Peraturan </w:t>
      </w:r>
      <w:r w:rsidR="00E03816" w:rsidRPr="001F128B">
        <w:rPr>
          <w:rFonts w:ascii="Times New Roman" w:hAnsi="Times New Roman" w:cs="Times New Roman"/>
          <w:sz w:val="24"/>
          <w:szCs w:val="24"/>
        </w:rPr>
        <w:t xml:space="preserve">Bank Indonesia No. 17/11/PBI/2015 </w:t>
      </w:r>
      <w:r w:rsidRPr="001F128B">
        <w:rPr>
          <w:rFonts w:ascii="Times New Roman" w:hAnsi="Times New Roman" w:cs="Times New Roman"/>
          <w:sz w:val="24"/>
          <w:szCs w:val="24"/>
        </w:rPr>
        <w:t>Tentang Sistem Penilaian Tingkat Kesehatan Bank Umum menjela</w:t>
      </w:r>
      <w:r w:rsidR="0026269A" w:rsidRPr="001F128B">
        <w:rPr>
          <w:rFonts w:ascii="Times New Roman" w:hAnsi="Times New Roman" w:cs="Times New Roman"/>
          <w:sz w:val="24"/>
          <w:szCs w:val="24"/>
        </w:rPr>
        <w:t>skan bahwa standar rasio NIM</w:t>
      </w:r>
      <w:r w:rsidRPr="001F128B">
        <w:rPr>
          <w:rFonts w:ascii="Times New Roman" w:hAnsi="Times New Roman" w:cs="Times New Roman"/>
          <w:sz w:val="24"/>
          <w:szCs w:val="24"/>
        </w:rPr>
        <w:t xml:space="preserve"> adalah &gt; 5%. Rasio ini berbanding lurus dengan pendapatan yang diterima oleh bank. </w:t>
      </w:r>
      <w:r w:rsidR="00E03816" w:rsidRPr="001F128B">
        <w:rPr>
          <w:rFonts w:ascii="Times New Roman" w:hAnsi="Times New Roman" w:cs="Times New Roman"/>
          <w:sz w:val="24"/>
          <w:szCs w:val="24"/>
        </w:rPr>
        <w:t xml:space="preserve">Semakin besar pendapatan bunga </w:t>
      </w:r>
      <w:r w:rsidRPr="001F128B">
        <w:rPr>
          <w:rFonts w:ascii="Times New Roman" w:hAnsi="Times New Roman" w:cs="Times New Roman"/>
          <w:sz w:val="24"/>
          <w:szCs w:val="24"/>
        </w:rPr>
        <w:t>yang diterima oleh bank semakin besar pula rasio NIM bank tersebut. Rasio NIM yang tinggi menunjukkan bank sedang berada pada kinerja keuangan yang baik. Sebaliknya, rasio NIM yang rendah menunjukkan bahwa ba</w:t>
      </w:r>
      <w:r w:rsidR="001F128B" w:rsidRPr="001F128B">
        <w:rPr>
          <w:rFonts w:ascii="Times New Roman" w:hAnsi="Times New Roman" w:cs="Times New Roman"/>
          <w:sz w:val="24"/>
          <w:szCs w:val="24"/>
        </w:rPr>
        <w:t>nk berada pada risiko pasar yang tinggi</w:t>
      </w:r>
      <w:r w:rsidRPr="001F128B">
        <w:rPr>
          <w:rFonts w:ascii="Times New Roman" w:hAnsi="Times New Roman" w:cs="Times New Roman"/>
          <w:sz w:val="24"/>
          <w:szCs w:val="24"/>
        </w:rPr>
        <w:t>.</w:t>
      </w:r>
      <w:r w:rsidR="00900651">
        <w:rPr>
          <w:rFonts w:ascii="Times New Roman" w:hAnsi="Times New Roman" w:cs="Times New Roman"/>
          <w:color w:val="FF0000"/>
          <w:sz w:val="24"/>
          <w:szCs w:val="24"/>
        </w:rPr>
        <w:t xml:space="preserve"> </w:t>
      </w:r>
      <w:r w:rsidR="00900651" w:rsidRPr="00882BE6">
        <w:rPr>
          <w:rFonts w:ascii="Times New Roman" w:hAnsi="Times New Roman" w:cs="Times New Roman"/>
          <w:sz w:val="24"/>
          <w:szCs w:val="24"/>
        </w:rPr>
        <w:t>Rumus untuk menghitung NIM menurut siahaan (2009;138) adalah;</w:t>
      </w:r>
    </w:p>
    <w:p w:rsidR="00900651" w:rsidRPr="00882BE6" w:rsidRDefault="00900651" w:rsidP="00D64362">
      <w:pPr>
        <w:pStyle w:val="ListParagraph"/>
        <w:spacing w:line="360" w:lineRule="auto"/>
        <w:ind w:left="450"/>
        <w:jc w:val="both"/>
        <w:rPr>
          <w:rFonts w:ascii="Times New Roman" w:hAnsi="Times New Roman" w:cs="Times New Roman"/>
          <w:sz w:val="24"/>
          <w:szCs w:val="24"/>
        </w:rPr>
      </w:pPr>
      <m:oMathPara>
        <m:oMath>
          <m:r>
            <w:rPr>
              <w:rFonts w:ascii="Cambria Math" w:hAnsi="Cambria Math" w:cs="Times New Roman"/>
              <w:sz w:val="24"/>
              <w:szCs w:val="24"/>
            </w:rPr>
            <w:lastRenderedPageBreak/>
            <m:t>Net Interest Margin=</m:t>
          </m:r>
          <m:f>
            <m:fPr>
              <m:ctrlPr>
                <w:rPr>
                  <w:rFonts w:ascii="Cambria Math" w:hAnsi="Cambria Math" w:cs="Times New Roman"/>
                  <w:i/>
                  <w:sz w:val="24"/>
                  <w:szCs w:val="24"/>
                </w:rPr>
              </m:ctrlPr>
            </m:fPr>
            <m:num>
              <m:r>
                <w:rPr>
                  <w:rFonts w:ascii="Cambria Math" w:hAnsi="Cambria Math" w:cs="Times New Roman"/>
                  <w:sz w:val="24"/>
                  <w:szCs w:val="24"/>
                </w:rPr>
                <m:t>interest revenues-interest expens</m:t>
              </m:r>
            </m:num>
            <m:den>
              <m:r>
                <w:rPr>
                  <w:rFonts w:ascii="Cambria Math" w:hAnsi="Cambria Math" w:cs="Times New Roman"/>
                  <w:sz w:val="24"/>
                  <w:szCs w:val="24"/>
                </w:rPr>
                <m:t>Assets</m:t>
              </m:r>
            </m:den>
          </m:f>
        </m:oMath>
      </m:oMathPara>
    </w:p>
    <w:p w:rsidR="009C1CC0" w:rsidRPr="00994B25" w:rsidRDefault="00994B25" w:rsidP="00D64362">
      <w:pPr>
        <w:pStyle w:val="ListParagraph"/>
        <w:numPr>
          <w:ilvl w:val="0"/>
          <w:numId w:val="1"/>
        </w:numPr>
        <w:spacing w:line="360" w:lineRule="auto"/>
        <w:ind w:left="360"/>
        <w:jc w:val="both"/>
        <w:rPr>
          <w:rFonts w:ascii="Times New Roman" w:hAnsi="Times New Roman" w:cs="Times New Roman"/>
          <w:b/>
          <w:sz w:val="24"/>
          <w:szCs w:val="24"/>
        </w:rPr>
      </w:pPr>
      <w:r w:rsidRPr="00994B25">
        <w:rPr>
          <w:rFonts w:ascii="Times New Roman" w:hAnsi="Times New Roman" w:cs="Times New Roman"/>
          <w:b/>
          <w:sz w:val="24"/>
          <w:szCs w:val="24"/>
        </w:rPr>
        <w:t>METODE PENELITIAN</w:t>
      </w:r>
    </w:p>
    <w:p w:rsidR="00533BED" w:rsidRDefault="00533BED" w:rsidP="00D6436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Penelitian ini dirancang untuk meneliti perbandingan risiko yang dihadapi oleh perbankan di tiga negara ASEAN. Populasi yang digunakan adalah seluruh Bank Umum Konvensional yang ada di Negara Mala</w:t>
      </w:r>
      <w:r w:rsidR="00771C53">
        <w:rPr>
          <w:rFonts w:ascii="Times New Roman" w:hAnsi="Times New Roman" w:cs="Times New Roman"/>
          <w:sz w:val="24"/>
          <w:szCs w:val="24"/>
        </w:rPr>
        <w:t>ysia, Indonesia, dan Thailand. S</w:t>
      </w:r>
      <w:r>
        <w:rPr>
          <w:rFonts w:ascii="Times New Roman" w:hAnsi="Times New Roman" w:cs="Times New Roman"/>
          <w:sz w:val="24"/>
          <w:szCs w:val="24"/>
        </w:rPr>
        <w:t xml:space="preserve">edangkan metode pemilihan sampel menggunakan metode </w:t>
      </w:r>
      <w:r w:rsidRPr="00B76791">
        <w:rPr>
          <w:rFonts w:ascii="Times New Roman" w:hAnsi="Times New Roman" w:cs="Times New Roman"/>
          <w:i/>
          <w:sz w:val="24"/>
          <w:szCs w:val="24"/>
        </w:rPr>
        <w:t>purposive sampling</w:t>
      </w:r>
      <w:r>
        <w:rPr>
          <w:rFonts w:ascii="Times New Roman" w:hAnsi="Times New Roman" w:cs="Times New Roman"/>
          <w:sz w:val="24"/>
          <w:szCs w:val="24"/>
        </w:rPr>
        <w:t>, dimana sampel dipilih dengan kriteria-kr</w:t>
      </w:r>
      <w:r w:rsidR="00771C53">
        <w:rPr>
          <w:rFonts w:ascii="Times New Roman" w:hAnsi="Times New Roman" w:cs="Times New Roman"/>
          <w:sz w:val="24"/>
          <w:szCs w:val="24"/>
        </w:rPr>
        <w:t>iteria tertentu yang telah ditet</w:t>
      </w:r>
      <w:r>
        <w:rPr>
          <w:rFonts w:ascii="Times New Roman" w:hAnsi="Times New Roman" w:cs="Times New Roman"/>
          <w:sz w:val="24"/>
          <w:szCs w:val="24"/>
        </w:rPr>
        <w:t>apkan oleh peneliti. Adapun k</w:t>
      </w:r>
      <w:r w:rsidR="00DC4C02">
        <w:rPr>
          <w:rFonts w:ascii="Times New Roman" w:hAnsi="Times New Roman" w:cs="Times New Roman"/>
          <w:sz w:val="24"/>
          <w:szCs w:val="24"/>
        </w:rPr>
        <w:t>riteria pengambilan sambel</w:t>
      </w:r>
      <w:r>
        <w:rPr>
          <w:rFonts w:ascii="Times New Roman" w:hAnsi="Times New Roman" w:cs="Times New Roman"/>
          <w:sz w:val="24"/>
          <w:szCs w:val="24"/>
        </w:rPr>
        <w:t xml:space="preserve"> adalah sebagai berikut;</w:t>
      </w:r>
    </w:p>
    <w:p w:rsidR="00533BED" w:rsidRDefault="00D904BC" w:rsidP="00D6436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Tiga Perbankan terbesar di setiap negara dilihat dari total aset yang dimiliki</w:t>
      </w:r>
      <w:r w:rsidR="00B76791">
        <w:rPr>
          <w:rFonts w:ascii="Times New Roman" w:hAnsi="Times New Roman" w:cs="Times New Roman"/>
          <w:sz w:val="24"/>
          <w:szCs w:val="24"/>
        </w:rPr>
        <w:t>.</w:t>
      </w:r>
    </w:p>
    <w:p w:rsidR="00D904BC" w:rsidRDefault="00D904BC" w:rsidP="00D6436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Perbankan menerbitkan laporan keuangan secara rutin selama periode penelitian, yakni tahun 2016-2019.</w:t>
      </w:r>
    </w:p>
    <w:p w:rsidR="00DC4C02" w:rsidRDefault="00D904BC" w:rsidP="00D6436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Perbankan yang menyampaikan datanya secara lengkap </w:t>
      </w:r>
      <w:r w:rsidR="00DC4C02">
        <w:rPr>
          <w:rFonts w:ascii="Times New Roman" w:hAnsi="Times New Roman" w:cs="Times New Roman"/>
          <w:sz w:val="24"/>
          <w:szCs w:val="24"/>
        </w:rPr>
        <w:t>sesuai dengan informasi yang dibutuhkan, yaitu NPL,LDR dan NIM.</w:t>
      </w:r>
    </w:p>
    <w:p w:rsidR="00DC4C02" w:rsidRDefault="00DC4C02" w:rsidP="00D6436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metode purposive sampling yang telah dilakukan, maka sampel penelitian ini berjumlah 9 bank dan masing-masing bank diteliti selama 4 periode. Adapun perbankan yang </w:t>
      </w:r>
      <w:r w:rsidR="00771C53">
        <w:rPr>
          <w:rFonts w:ascii="Times New Roman" w:hAnsi="Times New Roman" w:cs="Times New Roman"/>
          <w:sz w:val="24"/>
          <w:szCs w:val="24"/>
        </w:rPr>
        <w:t>menjadi sampel penelitian dapat dilihat pada tabel.</w:t>
      </w:r>
    </w:p>
    <w:p w:rsidR="00771C53" w:rsidRDefault="00771C53" w:rsidP="00D64362">
      <w:pPr>
        <w:pStyle w:val="ListParagraph"/>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Tabel 1. Daftar Nama Bank Sampel Penelitian</w:t>
      </w:r>
    </w:p>
    <w:tbl>
      <w:tblPr>
        <w:tblStyle w:val="TableGrid"/>
        <w:tblW w:w="0" w:type="auto"/>
        <w:jc w:val="center"/>
        <w:tblInd w:w="36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558"/>
        <w:gridCol w:w="3420"/>
        <w:gridCol w:w="1710"/>
      </w:tblGrid>
      <w:tr w:rsidR="00DC4C02" w:rsidTr="00650971">
        <w:trPr>
          <w:jc w:val="center"/>
        </w:trPr>
        <w:tc>
          <w:tcPr>
            <w:tcW w:w="558" w:type="dxa"/>
            <w:tcBorders>
              <w:top w:val="single" w:sz="4" w:space="0" w:color="auto"/>
              <w:bottom w:val="single" w:sz="4" w:space="0" w:color="auto"/>
            </w:tcBorders>
          </w:tcPr>
          <w:p w:rsidR="00DC4C02" w:rsidRPr="00C059DD" w:rsidRDefault="00DC4C02" w:rsidP="00D64362">
            <w:pPr>
              <w:pStyle w:val="ListParagraph"/>
              <w:spacing w:line="360" w:lineRule="auto"/>
              <w:ind w:left="0"/>
              <w:rPr>
                <w:rFonts w:ascii="Times New Roman" w:hAnsi="Times New Roman" w:cs="Times New Roman"/>
                <w:b/>
                <w:sz w:val="24"/>
                <w:szCs w:val="24"/>
              </w:rPr>
            </w:pPr>
            <w:r w:rsidRPr="00C059DD">
              <w:rPr>
                <w:rFonts w:ascii="Times New Roman" w:hAnsi="Times New Roman" w:cs="Times New Roman"/>
                <w:b/>
                <w:sz w:val="24"/>
                <w:szCs w:val="24"/>
              </w:rPr>
              <w:t>No</w:t>
            </w:r>
          </w:p>
        </w:tc>
        <w:tc>
          <w:tcPr>
            <w:tcW w:w="3420" w:type="dxa"/>
            <w:tcBorders>
              <w:top w:val="single" w:sz="4" w:space="0" w:color="auto"/>
              <w:bottom w:val="single" w:sz="4" w:space="0" w:color="auto"/>
            </w:tcBorders>
          </w:tcPr>
          <w:p w:rsidR="00DC4C02" w:rsidRPr="00C059DD" w:rsidRDefault="00DC4C02" w:rsidP="00D64362">
            <w:pPr>
              <w:pStyle w:val="ListParagraph"/>
              <w:spacing w:line="360" w:lineRule="auto"/>
              <w:ind w:left="0"/>
              <w:jc w:val="both"/>
              <w:rPr>
                <w:rFonts w:ascii="Times New Roman" w:hAnsi="Times New Roman" w:cs="Times New Roman"/>
                <w:b/>
                <w:sz w:val="24"/>
                <w:szCs w:val="24"/>
              </w:rPr>
            </w:pPr>
            <w:r w:rsidRPr="00C059DD">
              <w:rPr>
                <w:rFonts w:ascii="Times New Roman" w:hAnsi="Times New Roman" w:cs="Times New Roman"/>
                <w:b/>
                <w:sz w:val="24"/>
                <w:szCs w:val="24"/>
              </w:rPr>
              <w:t>Nama Bank</w:t>
            </w:r>
          </w:p>
        </w:tc>
        <w:tc>
          <w:tcPr>
            <w:tcW w:w="1710" w:type="dxa"/>
            <w:tcBorders>
              <w:top w:val="single" w:sz="4" w:space="0" w:color="auto"/>
              <w:bottom w:val="single" w:sz="4" w:space="0" w:color="auto"/>
            </w:tcBorders>
          </w:tcPr>
          <w:p w:rsidR="00DC4C02" w:rsidRPr="00C059DD" w:rsidRDefault="00DC4C02" w:rsidP="00D64362">
            <w:pPr>
              <w:pStyle w:val="ListParagraph"/>
              <w:spacing w:line="360" w:lineRule="auto"/>
              <w:ind w:left="0"/>
              <w:jc w:val="center"/>
              <w:rPr>
                <w:rFonts w:ascii="Times New Roman" w:hAnsi="Times New Roman" w:cs="Times New Roman"/>
                <w:b/>
                <w:sz w:val="24"/>
                <w:szCs w:val="24"/>
              </w:rPr>
            </w:pPr>
            <w:r w:rsidRPr="00C059DD">
              <w:rPr>
                <w:rFonts w:ascii="Times New Roman" w:hAnsi="Times New Roman" w:cs="Times New Roman"/>
                <w:b/>
                <w:sz w:val="24"/>
                <w:szCs w:val="24"/>
              </w:rPr>
              <w:t>Asal Negara</w:t>
            </w:r>
          </w:p>
        </w:tc>
      </w:tr>
      <w:tr w:rsidR="00DC4C02" w:rsidTr="00650971">
        <w:trPr>
          <w:jc w:val="center"/>
        </w:trPr>
        <w:tc>
          <w:tcPr>
            <w:tcW w:w="558" w:type="dxa"/>
            <w:tcBorders>
              <w:top w:val="single" w:sz="4" w:space="0" w:color="auto"/>
            </w:tcBorders>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420" w:type="dxa"/>
            <w:tcBorders>
              <w:top w:val="single" w:sz="4" w:space="0" w:color="auto"/>
            </w:tcBorders>
          </w:tcPr>
          <w:p w:rsidR="00DC4C02" w:rsidRDefault="00DC4C02" w:rsidP="00D643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PT. Bank Rakyat Indonesia Tbk</w:t>
            </w:r>
          </w:p>
        </w:tc>
        <w:tc>
          <w:tcPr>
            <w:tcW w:w="1710" w:type="dxa"/>
            <w:tcBorders>
              <w:top w:val="single" w:sz="4" w:space="0" w:color="auto"/>
            </w:tcBorders>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Indonesia</w:t>
            </w:r>
          </w:p>
        </w:tc>
      </w:tr>
      <w:tr w:rsidR="00DC4C02" w:rsidTr="00650971">
        <w:trPr>
          <w:jc w:val="center"/>
        </w:trPr>
        <w:tc>
          <w:tcPr>
            <w:tcW w:w="558"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420" w:type="dxa"/>
          </w:tcPr>
          <w:p w:rsidR="00DC4C02" w:rsidRDefault="00DC4C02" w:rsidP="00D643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PT. Bank Mandiri,Tbk</w:t>
            </w:r>
          </w:p>
        </w:tc>
        <w:tc>
          <w:tcPr>
            <w:tcW w:w="1710"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Indonesia</w:t>
            </w:r>
          </w:p>
        </w:tc>
      </w:tr>
      <w:tr w:rsidR="00DC4C02" w:rsidTr="00650971">
        <w:trPr>
          <w:jc w:val="center"/>
        </w:trPr>
        <w:tc>
          <w:tcPr>
            <w:tcW w:w="558"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420" w:type="dxa"/>
          </w:tcPr>
          <w:p w:rsidR="00DC4C02" w:rsidRDefault="00DC4C02" w:rsidP="00D643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PT. Bank Central Asia, Tbk</w:t>
            </w:r>
          </w:p>
        </w:tc>
        <w:tc>
          <w:tcPr>
            <w:tcW w:w="1710"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Indonesia</w:t>
            </w:r>
          </w:p>
        </w:tc>
      </w:tr>
      <w:tr w:rsidR="00DC4C02" w:rsidTr="00650971">
        <w:trPr>
          <w:jc w:val="center"/>
        </w:trPr>
        <w:tc>
          <w:tcPr>
            <w:tcW w:w="558"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420" w:type="dxa"/>
          </w:tcPr>
          <w:p w:rsidR="00DC4C02" w:rsidRDefault="00DC4C02" w:rsidP="00D64362">
            <w:pPr>
              <w:pStyle w:val="ListParagraph"/>
              <w:spacing w:line="360" w:lineRule="auto"/>
              <w:ind w:left="0"/>
              <w:jc w:val="both"/>
              <w:rPr>
                <w:rFonts w:ascii="Times New Roman" w:hAnsi="Times New Roman" w:cs="Times New Roman"/>
                <w:sz w:val="24"/>
                <w:szCs w:val="24"/>
              </w:rPr>
            </w:pPr>
            <w:r w:rsidRPr="00DC4C02">
              <w:rPr>
                <w:rFonts w:ascii="Times New Roman" w:hAnsi="Times New Roman" w:cs="Times New Roman"/>
                <w:sz w:val="24"/>
                <w:szCs w:val="24"/>
              </w:rPr>
              <w:t>PT Bank CIMB Niaga</w:t>
            </w:r>
            <w:r>
              <w:rPr>
                <w:rFonts w:ascii="Times New Roman" w:hAnsi="Times New Roman" w:cs="Times New Roman"/>
                <w:sz w:val="24"/>
                <w:szCs w:val="24"/>
              </w:rPr>
              <w:t>,</w:t>
            </w:r>
            <w:r w:rsidRPr="00DC4C02">
              <w:rPr>
                <w:rFonts w:ascii="Times New Roman" w:hAnsi="Times New Roman" w:cs="Times New Roman"/>
                <w:sz w:val="24"/>
                <w:szCs w:val="24"/>
              </w:rPr>
              <w:t xml:space="preserve"> Tbk</w:t>
            </w:r>
          </w:p>
        </w:tc>
        <w:tc>
          <w:tcPr>
            <w:tcW w:w="1710"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Malaysia</w:t>
            </w:r>
          </w:p>
        </w:tc>
      </w:tr>
      <w:tr w:rsidR="00DC4C02" w:rsidTr="00650971">
        <w:trPr>
          <w:jc w:val="center"/>
        </w:trPr>
        <w:tc>
          <w:tcPr>
            <w:tcW w:w="558"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420" w:type="dxa"/>
          </w:tcPr>
          <w:p w:rsidR="00DC4C02" w:rsidRDefault="00C059DD" w:rsidP="00D64362">
            <w:pPr>
              <w:pStyle w:val="ListParagraph"/>
              <w:spacing w:line="360" w:lineRule="auto"/>
              <w:ind w:left="-18"/>
              <w:rPr>
                <w:rFonts w:ascii="Times New Roman" w:hAnsi="Times New Roman" w:cs="Times New Roman"/>
                <w:sz w:val="24"/>
                <w:szCs w:val="24"/>
              </w:rPr>
            </w:pPr>
            <w:r w:rsidRPr="00DC4C02">
              <w:rPr>
                <w:rFonts w:ascii="Times New Roman" w:hAnsi="Times New Roman" w:cs="Times New Roman"/>
                <w:sz w:val="24"/>
                <w:szCs w:val="24"/>
              </w:rPr>
              <w:t>Hongleong Bank Berhad</w:t>
            </w:r>
          </w:p>
        </w:tc>
        <w:tc>
          <w:tcPr>
            <w:tcW w:w="1710"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Malaysia</w:t>
            </w:r>
          </w:p>
        </w:tc>
      </w:tr>
      <w:tr w:rsidR="00DC4C02" w:rsidTr="00650971">
        <w:trPr>
          <w:jc w:val="center"/>
        </w:trPr>
        <w:tc>
          <w:tcPr>
            <w:tcW w:w="558"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420" w:type="dxa"/>
          </w:tcPr>
          <w:p w:rsidR="00DC4C02" w:rsidRDefault="00C059DD" w:rsidP="00D643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Maybank</w:t>
            </w:r>
          </w:p>
        </w:tc>
        <w:tc>
          <w:tcPr>
            <w:tcW w:w="1710"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Malaysia</w:t>
            </w:r>
          </w:p>
        </w:tc>
      </w:tr>
      <w:tr w:rsidR="00DC4C02" w:rsidTr="00650971">
        <w:trPr>
          <w:jc w:val="center"/>
        </w:trPr>
        <w:tc>
          <w:tcPr>
            <w:tcW w:w="558"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420" w:type="dxa"/>
          </w:tcPr>
          <w:p w:rsidR="00DC4C02" w:rsidRDefault="00C059DD" w:rsidP="00D643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Bangkok Bank</w:t>
            </w:r>
          </w:p>
        </w:tc>
        <w:tc>
          <w:tcPr>
            <w:tcW w:w="1710" w:type="dxa"/>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Thailand</w:t>
            </w:r>
          </w:p>
        </w:tc>
      </w:tr>
      <w:tr w:rsidR="00DC4C02" w:rsidTr="00334062">
        <w:trPr>
          <w:jc w:val="center"/>
        </w:trPr>
        <w:tc>
          <w:tcPr>
            <w:tcW w:w="558" w:type="dxa"/>
            <w:tcBorders>
              <w:bottom w:val="single" w:sz="4" w:space="0" w:color="auto"/>
            </w:tcBorders>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420" w:type="dxa"/>
            <w:tcBorders>
              <w:bottom w:val="single" w:sz="4" w:space="0" w:color="auto"/>
            </w:tcBorders>
          </w:tcPr>
          <w:p w:rsidR="00DC4C02" w:rsidRDefault="00C059DD" w:rsidP="00D643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Kasikorn Bank</w:t>
            </w:r>
          </w:p>
        </w:tc>
        <w:tc>
          <w:tcPr>
            <w:tcW w:w="1710" w:type="dxa"/>
            <w:tcBorders>
              <w:bottom w:val="single" w:sz="4" w:space="0" w:color="auto"/>
            </w:tcBorders>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Thailand</w:t>
            </w:r>
          </w:p>
        </w:tc>
      </w:tr>
      <w:tr w:rsidR="00DC4C02" w:rsidTr="00334062">
        <w:trPr>
          <w:jc w:val="center"/>
        </w:trPr>
        <w:tc>
          <w:tcPr>
            <w:tcW w:w="558" w:type="dxa"/>
            <w:tcBorders>
              <w:top w:val="single" w:sz="4" w:space="0" w:color="auto"/>
              <w:bottom w:val="single" w:sz="4" w:space="0" w:color="auto"/>
            </w:tcBorders>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420" w:type="dxa"/>
            <w:tcBorders>
              <w:top w:val="single" w:sz="4" w:space="0" w:color="auto"/>
              <w:bottom w:val="single" w:sz="4" w:space="0" w:color="auto"/>
            </w:tcBorders>
          </w:tcPr>
          <w:p w:rsidR="00DC4C02" w:rsidRDefault="00C059DD" w:rsidP="00D643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Krung Thai</w:t>
            </w:r>
          </w:p>
        </w:tc>
        <w:tc>
          <w:tcPr>
            <w:tcW w:w="1710" w:type="dxa"/>
            <w:tcBorders>
              <w:top w:val="single" w:sz="4" w:space="0" w:color="auto"/>
              <w:bottom w:val="single" w:sz="4" w:space="0" w:color="auto"/>
            </w:tcBorders>
          </w:tcPr>
          <w:p w:rsidR="00DC4C02" w:rsidRDefault="00DC4C02" w:rsidP="00D6436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Thailand</w:t>
            </w:r>
          </w:p>
        </w:tc>
      </w:tr>
      <w:tr w:rsidR="00334062" w:rsidTr="00334062">
        <w:trPr>
          <w:jc w:val="center"/>
        </w:trPr>
        <w:tc>
          <w:tcPr>
            <w:tcW w:w="5688" w:type="dxa"/>
            <w:gridSpan w:val="3"/>
            <w:tcBorders>
              <w:top w:val="single" w:sz="4" w:space="0" w:color="auto"/>
              <w:bottom w:val="nil"/>
            </w:tcBorders>
          </w:tcPr>
          <w:p w:rsidR="00334062" w:rsidRDefault="00334062" w:rsidP="00D6436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Sumber; Website bank bersangkutan (data diolah)</w:t>
            </w:r>
          </w:p>
        </w:tc>
      </w:tr>
    </w:tbl>
    <w:p w:rsidR="00091EF7" w:rsidRDefault="0042142A" w:rsidP="00D6436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Alat analisis yang digunakan adalah uji komperatif atau uji beda. uji beda</w:t>
      </w:r>
      <w:r w:rsidR="008040B2">
        <w:rPr>
          <w:rFonts w:ascii="Times New Roman" w:hAnsi="Times New Roman" w:cs="Times New Roman"/>
          <w:sz w:val="24"/>
          <w:szCs w:val="24"/>
        </w:rPr>
        <w:t xml:space="preserve"> digunakan untuk mengetahui perbed</w:t>
      </w:r>
      <w:r>
        <w:rPr>
          <w:rFonts w:ascii="Times New Roman" w:hAnsi="Times New Roman" w:cs="Times New Roman"/>
          <w:sz w:val="24"/>
          <w:szCs w:val="24"/>
        </w:rPr>
        <w:t xml:space="preserve">aan 2 kelompok sampel atau lebih. Uji Statistik yang digunakan untuk menganalisis 3 sampel dalam penelitian ini adalah uji </w:t>
      </w:r>
      <w:r w:rsidR="004D2D46">
        <w:rPr>
          <w:rFonts w:ascii="Times New Roman" w:hAnsi="Times New Roman" w:cs="Times New Roman"/>
          <w:sz w:val="24"/>
          <w:szCs w:val="24"/>
        </w:rPr>
        <w:t xml:space="preserve">One-Way </w:t>
      </w:r>
      <w:r>
        <w:rPr>
          <w:rFonts w:ascii="Times New Roman" w:hAnsi="Times New Roman" w:cs="Times New Roman"/>
          <w:sz w:val="24"/>
          <w:szCs w:val="24"/>
        </w:rPr>
        <w:t xml:space="preserve">ANOVA </w:t>
      </w:r>
      <w:r w:rsidR="004D2D46">
        <w:rPr>
          <w:rFonts w:ascii="Times New Roman" w:hAnsi="Times New Roman" w:cs="Times New Roman"/>
          <w:sz w:val="24"/>
          <w:szCs w:val="24"/>
        </w:rPr>
        <w:t>(</w:t>
      </w:r>
      <w:r w:rsidR="004D2D46" w:rsidRPr="00091EF7">
        <w:rPr>
          <w:rFonts w:ascii="Times New Roman" w:hAnsi="Times New Roman" w:cs="Times New Roman"/>
          <w:i/>
          <w:sz w:val="24"/>
          <w:szCs w:val="24"/>
        </w:rPr>
        <w:t>analysis of varian</w:t>
      </w:r>
      <w:r w:rsidR="004D2D46">
        <w:rPr>
          <w:rFonts w:ascii="Times New Roman" w:hAnsi="Times New Roman" w:cs="Times New Roman"/>
          <w:sz w:val="24"/>
          <w:szCs w:val="24"/>
        </w:rPr>
        <w:t>)</w:t>
      </w:r>
      <w:r w:rsidR="00091EF7">
        <w:rPr>
          <w:rFonts w:ascii="Times New Roman" w:hAnsi="Times New Roman" w:cs="Times New Roman"/>
          <w:sz w:val="24"/>
          <w:szCs w:val="24"/>
        </w:rPr>
        <w:t xml:space="preserve">. ANOVA merupakan uji statistik yang digunakan untuk menganalisis </w:t>
      </w:r>
      <w:r w:rsidR="00091EF7">
        <w:rPr>
          <w:rFonts w:ascii="Times New Roman" w:hAnsi="Times New Roman" w:cs="Times New Roman"/>
          <w:sz w:val="24"/>
          <w:szCs w:val="24"/>
        </w:rPr>
        <w:lastRenderedPageBreak/>
        <w:t>perbedaan lebih dari 2 kelompok data. Sebelum melakukan uji</w:t>
      </w:r>
      <w:r w:rsidR="004D2D46">
        <w:rPr>
          <w:rFonts w:ascii="Times New Roman" w:hAnsi="Times New Roman" w:cs="Times New Roman"/>
          <w:sz w:val="24"/>
          <w:szCs w:val="24"/>
        </w:rPr>
        <w:t xml:space="preserve"> One-Way</w:t>
      </w:r>
      <w:r w:rsidR="00091EF7">
        <w:rPr>
          <w:rFonts w:ascii="Times New Roman" w:hAnsi="Times New Roman" w:cs="Times New Roman"/>
          <w:sz w:val="24"/>
          <w:szCs w:val="24"/>
        </w:rPr>
        <w:t xml:space="preserve"> ANOVA ada beberapa s</w:t>
      </w:r>
      <w:r w:rsidR="004D2D46">
        <w:rPr>
          <w:rFonts w:ascii="Times New Roman" w:hAnsi="Times New Roman" w:cs="Times New Roman"/>
          <w:sz w:val="24"/>
          <w:szCs w:val="24"/>
        </w:rPr>
        <w:t>yarat yang harus dipenuhi, diantaranya;</w:t>
      </w:r>
    </w:p>
    <w:p w:rsidR="00091EF7" w:rsidRDefault="00091EF7" w:rsidP="00D6436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Sampel penelitian berasal dari kelompok yang independen</w:t>
      </w:r>
      <w:r w:rsidR="00B20F2F">
        <w:rPr>
          <w:rFonts w:ascii="Times New Roman" w:hAnsi="Times New Roman" w:cs="Times New Roman"/>
          <w:sz w:val="24"/>
          <w:szCs w:val="24"/>
        </w:rPr>
        <w:t xml:space="preserve">t. Artinya sampel antar kelompok tidak saling berhubungan, anggota sampel kelompok A bukan termasuk aggota sampel kelompok B atau C. </w:t>
      </w:r>
    </w:p>
    <w:p w:rsidR="00091EF7" w:rsidRDefault="00B20F2F" w:rsidP="00D6436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penelitian </w:t>
      </w:r>
      <w:r w:rsidR="00C06BD0">
        <w:rPr>
          <w:rFonts w:ascii="Times New Roman" w:hAnsi="Times New Roman" w:cs="Times New Roman"/>
          <w:sz w:val="24"/>
          <w:szCs w:val="24"/>
        </w:rPr>
        <w:t xml:space="preserve">di setiap kelompok </w:t>
      </w:r>
      <w:r>
        <w:rPr>
          <w:rFonts w:ascii="Times New Roman" w:hAnsi="Times New Roman" w:cs="Times New Roman"/>
          <w:sz w:val="24"/>
          <w:szCs w:val="24"/>
        </w:rPr>
        <w:t>bersifat normal</w:t>
      </w:r>
      <w:r w:rsidR="00C06BD0">
        <w:rPr>
          <w:rFonts w:ascii="Times New Roman" w:hAnsi="Times New Roman" w:cs="Times New Roman"/>
          <w:sz w:val="24"/>
          <w:szCs w:val="24"/>
        </w:rPr>
        <w:t>.</w:t>
      </w:r>
      <w:r w:rsidR="004D2D46">
        <w:rPr>
          <w:rFonts w:ascii="Times New Roman" w:hAnsi="Times New Roman" w:cs="Times New Roman"/>
          <w:sz w:val="24"/>
          <w:szCs w:val="24"/>
        </w:rPr>
        <w:t xml:space="preserve"> Uji normalitas yang digunakan dalam penelitian ini adalah Uji </w:t>
      </w:r>
      <w:r w:rsidR="004D2D46" w:rsidRPr="004D2D46">
        <w:rPr>
          <w:rFonts w:ascii="Times New Roman" w:hAnsi="Times New Roman" w:cs="Times New Roman"/>
          <w:i/>
          <w:sz w:val="24"/>
          <w:szCs w:val="24"/>
        </w:rPr>
        <w:t>Shapiro Wilk</w:t>
      </w:r>
      <w:r w:rsidR="004D2D46">
        <w:rPr>
          <w:rFonts w:ascii="Times New Roman" w:hAnsi="Times New Roman" w:cs="Times New Roman"/>
          <w:i/>
          <w:sz w:val="24"/>
          <w:szCs w:val="24"/>
        </w:rPr>
        <w:t>.</w:t>
      </w:r>
    </w:p>
    <w:p w:rsidR="00290E0B" w:rsidRDefault="00B20F2F" w:rsidP="00D6436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Data penelitian</w:t>
      </w:r>
      <w:r w:rsidR="00C06BD0">
        <w:rPr>
          <w:rFonts w:ascii="Times New Roman" w:hAnsi="Times New Roman" w:cs="Times New Roman"/>
          <w:sz w:val="24"/>
          <w:szCs w:val="24"/>
        </w:rPr>
        <w:t xml:space="preserve"> antar varian</w:t>
      </w:r>
      <w:r>
        <w:rPr>
          <w:rFonts w:ascii="Times New Roman" w:hAnsi="Times New Roman" w:cs="Times New Roman"/>
          <w:sz w:val="24"/>
          <w:szCs w:val="24"/>
        </w:rPr>
        <w:t xml:space="preserve"> bersifat homogen</w:t>
      </w:r>
      <w:r w:rsidR="004D2D46">
        <w:rPr>
          <w:rFonts w:ascii="Times New Roman" w:hAnsi="Times New Roman" w:cs="Times New Roman"/>
          <w:sz w:val="24"/>
          <w:szCs w:val="24"/>
        </w:rPr>
        <w:t xml:space="preserve"> (sejenis)</w:t>
      </w:r>
      <w:r>
        <w:rPr>
          <w:rFonts w:ascii="Times New Roman" w:hAnsi="Times New Roman" w:cs="Times New Roman"/>
          <w:sz w:val="24"/>
          <w:szCs w:val="24"/>
        </w:rPr>
        <w:t>.</w:t>
      </w:r>
      <w:r w:rsidR="004D2D46">
        <w:rPr>
          <w:rFonts w:ascii="Times New Roman" w:hAnsi="Times New Roman" w:cs="Times New Roman"/>
          <w:sz w:val="24"/>
          <w:szCs w:val="24"/>
        </w:rPr>
        <w:t xml:space="preserve"> untuk menguji apakah data bersifat homogen atau tidak maka penelitian ini menggunakan uji homogenitas Uji F </w:t>
      </w:r>
      <w:r w:rsidR="004D2D46" w:rsidRPr="004D2D46">
        <w:rPr>
          <w:rFonts w:ascii="Times New Roman" w:hAnsi="Times New Roman" w:cs="Times New Roman"/>
          <w:i/>
          <w:sz w:val="24"/>
          <w:szCs w:val="24"/>
        </w:rPr>
        <w:t>Levene</w:t>
      </w:r>
      <w:r w:rsidR="004D2D46">
        <w:rPr>
          <w:rFonts w:ascii="Times New Roman" w:hAnsi="Times New Roman" w:cs="Times New Roman"/>
          <w:sz w:val="24"/>
          <w:szCs w:val="24"/>
        </w:rPr>
        <w:t>.</w:t>
      </w:r>
    </w:p>
    <w:p w:rsidR="00005BD6" w:rsidRPr="00290E0B" w:rsidRDefault="00005BD6" w:rsidP="00D6436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Uji One-Way ANOVA merupakan uji yang digunakan untuk sampel lebih dari 2 kelompok penelitian dengan asumsi-asumsi tertentu, jika asumsi-asumsi dalam Uji One Way ANOVA tidak dapat dipenuhi, maka pengujian komparatif dalam penelitian ini menggunakan uji </w:t>
      </w:r>
      <w:r w:rsidRPr="008437DD">
        <w:rPr>
          <w:rFonts w:ascii="Times New Roman" w:hAnsi="Times New Roman" w:cs="Times New Roman"/>
          <w:i/>
          <w:sz w:val="24"/>
          <w:szCs w:val="24"/>
        </w:rPr>
        <w:t>Kruskal Wallis</w:t>
      </w:r>
      <w:r>
        <w:rPr>
          <w:rFonts w:ascii="Times New Roman" w:hAnsi="Times New Roman" w:cs="Times New Roman"/>
          <w:sz w:val="24"/>
          <w:szCs w:val="24"/>
        </w:rPr>
        <w:t xml:space="preserve">. </w:t>
      </w:r>
      <w:r w:rsidRPr="008437DD">
        <w:rPr>
          <w:rFonts w:ascii="Times New Roman" w:hAnsi="Times New Roman" w:cs="Times New Roman"/>
          <w:i/>
          <w:sz w:val="24"/>
          <w:szCs w:val="24"/>
        </w:rPr>
        <w:t>Kruskal Wallis test</w:t>
      </w:r>
      <w:r>
        <w:rPr>
          <w:rFonts w:ascii="Times New Roman" w:hAnsi="Times New Roman" w:cs="Times New Roman"/>
          <w:sz w:val="24"/>
          <w:szCs w:val="24"/>
        </w:rPr>
        <w:t xml:space="preserve"> merupakan uji statistik non paarmetik yang digunakan untuk data lebih dari dua sampel penelitian yang saling berhubungan maupun tidak saling berhubungan. Penggunaan uji ini tidak menggunakan asumsi-asumsi tertentu, sehingga uji </w:t>
      </w:r>
      <w:r w:rsidRPr="00B76791">
        <w:rPr>
          <w:rFonts w:ascii="Times New Roman" w:hAnsi="Times New Roman" w:cs="Times New Roman"/>
          <w:i/>
          <w:sz w:val="24"/>
          <w:szCs w:val="24"/>
        </w:rPr>
        <w:t>kruskal wallis</w:t>
      </w:r>
      <w:r>
        <w:rPr>
          <w:rFonts w:ascii="Times New Roman" w:hAnsi="Times New Roman" w:cs="Times New Roman"/>
          <w:sz w:val="24"/>
          <w:szCs w:val="24"/>
        </w:rPr>
        <w:t xml:space="preserve"> adalah alternatif yang dapat digunakan apabila data tidak bersifat normal dan homogen.</w:t>
      </w:r>
    </w:p>
    <w:p w:rsidR="009C1CC0" w:rsidRPr="00994B25" w:rsidRDefault="00994B25" w:rsidP="00D64362">
      <w:pPr>
        <w:pStyle w:val="ListParagraph"/>
        <w:numPr>
          <w:ilvl w:val="0"/>
          <w:numId w:val="1"/>
        </w:numPr>
        <w:spacing w:line="360" w:lineRule="auto"/>
        <w:ind w:left="360"/>
        <w:jc w:val="both"/>
        <w:rPr>
          <w:rFonts w:ascii="Times New Roman" w:hAnsi="Times New Roman" w:cs="Times New Roman"/>
          <w:b/>
          <w:sz w:val="24"/>
          <w:szCs w:val="24"/>
        </w:rPr>
      </w:pPr>
      <w:r w:rsidRPr="00994B25">
        <w:rPr>
          <w:rFonts w:ascii="Times New Roman" w:hAnsi="Times New Roman" w:cs="Times New Roman"/>
          <w:b/>
          <w:sz w:val="24"/>
          <w:szCs w:val="24"/>
        </w:rPr>
        <w:t>HASIL PENELITIAN</w:t>
      </w:r>
    </w:p>
    <w:p w:rsidR="00334062" w:rsidRDefault="00771C53" w:rsidP="00D6436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Uji normalitas merupakan uji yang digunakan untuk menganalisis sebaran data, apakah sebaran data bersifat normal ataukah tidak. Uji normalitas yang digunakan adalah Uji </w:t>
      </w:r>
      <w:r w:rsidRPr="004D2D46">
        <w:rPr>
          <w:rFonts w:ascii="Times New Roman" w:hAnsi="Times New Roman" w:cs="Times New Roman"/>
          <w:i/>
          <w:sz w:val="24"/>
          <w:szCs w:val="24"/>
        </w:rPr>
        <w:t>Shapiro Wilk</w:t>
      </w:r>
      <w:r>
        <w:rPr>
          <w:rFonts w:ascii="Times New Roman" w:hAnsi="Times New Roman" w:cs="Times New Roman"/>
          <w:i/>
          <w:sz w:val="24"/>
          <w:szCs w:val="24"/>
        </w:rPr>
        <w:t xml:space="preserve">. </w:t>
      </w:r>
      <w:r>
        <w:rPr>
          <w:rFonts w:ascii="Times New Roman" w:hAnsi="Times New Roman" w:cs="Times New Roman"/>
          <w:sz w:val="24"/>
          <w:szCs w:val="24"/>
        </w:rPr>
        <w:t xml:space="preserve">Uji </w:t>
      </w:r>
      <w:r w:rsidRPr="004D2D46">
        <w:rPr>
          <w:rFonts w:ascii="Times New Roman" w:hAnsi="Times New Roman" w:cs="Times New Roman"/>
          <w:i/>
          <w:sz w:val="24"/>
          <w:szCs w:val="24"/>
        </w:rPr>
        <w:t>Shapiro Wil</w:t>
      </w:r>
      <w:r>
        <w:rPr>
          <w:rFonts w:ascii="Times New Roman" w:hAnsi="Times New Roman" w:cs="Times New Roman"/>
          <w:i/>
          <w:sz w:val="24"/>
          <w:szCs w:val="24"/>
        </w:rPr>
        <w:t>k</w:t>
      </w:r>
      <w:r>
        <w:rPr>
          <w:rFonts w:ascii="Times New Roman" w:hAnsi="Times New Roman" w:cs="Times New Roman"/>
          <w:sz w:val="24"/>
          <w:szCs w:val="24"/>
        </w:rPr>
        <w:t xml:space="preserve"> adalah uji normalitas yang digunakan untuk sampel penelitian kurang dari 50. Pengujian ini menggunakan signifikansi </w:t>
      </w:r>
      <w:r w:rsidR="00D02258">
        <w:rPr>
          <w:rFonts w:ascii="Times New Roman" w:hAnsi="Times New Roman" w:cs="Times New Roman"/>
          <w:sz w:val="24"/>
          <w:szCs w:val="24"/>
        </w:rPr>
        <w:t>&gt;</w:t>
      </w:r>
      <w:r>
        <w:rPr>
          <w:rFonts w:ascii="Times New Roman" w:hAnsi="Times New Roman" w:cs="Times New Roman"/>
          <w:sz w:val="24"/>
          <w:szCs w:val="24"/>
        </w:rPr>
        <w:t xml:space="preserve">5%. Artinya, data berdistribusi normal apabila hasil pengujian menunjukkan tingkat signifikansi lebih dari 0,05. Hasil uji Uji </w:t>
      </w:r>
      <w:r w:rsidRPr="004D2D46">
        <w:rPr>
          <w:rFonts w:ascii="Times New Roman" w:hAnsi="Times New Roman" w:cs="Times New Roman"/>
          <w:i/>
          <w:sz w:val="24"/>
          <w:szCs w:val="24"/>
        </w:rPr>
        <w:t>Shapiro Wilk</w:t>
      </w:r>
      <w:r>
        <w:rPr>
          <w:rFonts w:ascii="Times New Roman" w:hAnsi="Times New Roman" w:cs="Times New Roman"/>
          <w:sz w:val="24"/>
          <w:szCs w:val="24"/>
        </w:rPr>
        <w:t xml:space="preserve"> dapat dilihat pada tabel 2</w:t>
      </w:r>
      <w:r w:rsidR="00334062">
        <w:rPr>
          <w:rFonts w:ascii="Times New Roman" w:hAnsi="Times New Roman" w:cs="Times New Roman"/>
          <w:sz w:val="24"/>
          <w:szCs w:val="24"/>
        </w:rPr>
        <w:t>, 3 dan 4</w:t>
      </w:r>
      <w:r>
        <w:rPr>
          <w:rFonts w:ascii="Times New Roman" w:hAnsi="Times New Roman" w:cs="Times New Roman"/>
          <w:sz w:val="24"/>
          <w:szCs w:val="24"/>
        </w:rPr>
        <w:t>.</w:t>
      </w:r>
    </w:p>
    <w:p w:rsidR="00FA4864" w:rsidRPr="00FA4864" w:rsidRDefault="00FA4864" w:rsidP="00D6436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2. H</w:t>
      </w:r>
      <w:r w:rsidR="003B0656">
        <w:rPr>
          <w:rFonts w:ascii="Times New Roman" w:hAnsi="Times New Roman" w:cs="Times New Roman"/>
          <w:sz w:val="24"/>
          <w:szCs w:val="24"/>
        </w:rPr>
        <w:t>asil Uji Normalitas Variabel NPL</w:t>
      </w:r>
    </w:p>
    <w:tbl>
      <w:tblPr>
        <w:tblW w:w="6311" w:type="dxa"/>
        <w:jc w:val="center"/>
        <w:tblInd w:w="10"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581"/>
        <w:gridCol w:w="1116"/>
        <w:gridCol w:w="780"/>
        <w:gridCol w:w="514"/>
        <w:gridCol w:w="652"/>
        <w:gridCol w:w="912"/>
        <w:gridCol w:w="1010"/>
        <w:gridCol w:w="746"/>
      </w:tblGrid>
      <w:tr w:rsidR="003A1940" w:rsidRPr="00FA4864" w:rsidTr="008A70AA">
        <w:trPr>
          <w:cantSplit/>
          <w:jc w:val="center"/>
        </w:trPr>
        <w:tc>
          <w:tcPr>
            <w:tcW w:w="581" w:type="dxa"/>
            <w:tcBorders>
              <w:top w:val="single" w:sz="4" w:space="0" w:color="auto"/>
              <w:bottom w:val="nil"/>
            </w:tcBorders>
            <w:vAlign w:val="center"/>
          </w:tcPr>
          <w:p w:rsidR="003A1940" w:rsidRPr="00FA4864" w:rsidRDefault="003A1940" w:rsidP="00D64362">
            <w:pPr>
              <w:autoSpaceDE w:val="0"/>
              <w:autoSpaceDN w:val="0"/>
              <w:adjustRightInd w:val="0"/>
              <w:spacing w:after="0" w:line="360" w:lineRule="auto"/>
              <w:jc w:val="both"/>
              <w:rPr>
                <w:rFonts w:ascii="Arial" w:hAnsi="Arial" w:cs="Arial"/>
                <w:color w:val="000000"/>
                <w:sz w:val="18"/>
                <w:szCs w:val="18"/>
              </w:rPr>
            </w:pPr>
          </w:p>
        </w:tc>
        <w:tc>
          <w:tcPr>
            <w:tcW w:w="1116" w:type="dxa"/>
            <w:vMerge w:val="restart"/>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Negara</w:t>
            </w:r>
          </w:p>
        </w:tc>
        <w:tc>
          <w:tcPr>
            <w:tcW w:w="1946" w:type="dxa"/>
            <w:gridSpan w:val="3"/>
            <w:shd w:val="clear" w:color="auto" w:fill="FFFFFF"/>
          </w:tcPr>
          <w:p w:rsidR="003A1940" w:rsidRPr="00FA4864"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sidRPr="00FA4864">
              <w:rPr>
                <w:rFonts w:ascii="Arial" w:hAnsi="Arial" w:cs="Arial"/>
                <w:color w:val="000000"/>
                <w:sz w:val="18"/>
                <w:szCs w:val="18"/>
              </w:rPr>
              <w:t>Shapiro-Wilk</w:t>
            </w:r>
          </w:p>
        </w:tc>
        <w:tc>
          <w:tcPr>
            <w:tcW w:w="2668" w:type="dxa"/>
            <w:gridSpan w:val="3"/>
            <w:shd w:val="clear" w:color="auto" w:fill="FFFFFF"/>
          </w:tcPr>
          <w:p w:rsidR="003A1940"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Statistic</w:t>
            </w:r>
          </w:p>
        </w:tc>
      </w:tr>
      <w:tr w:rsidR="003A1940" w:rsidRPr="00FA4864" w:rsidTr="009860B8">
        <w:trPr>
          <w:cantSplit/>
          <w:jc w:val="center"/>
        </w:trPr>
        <w:tc>
          <w:tcPr>
            <w:tcW w:w="581" w:type="dxa"/>
            <w:tcBorders>
              <w:top w:val="nil"/>
              <w:bottom w:val="single" w:sz="4" w:space="0" w:color="auto"/>
            </w:tcBorders>
            <w:vAlign w:val="center"/>
          </w:tcPr>
          <w:p w:rsidR="003A1940" w:rsidRPr="00FA4864" w:rsidRDefault="003A1940" w:rsidP="00D64362">
            <w:pPr>
              <w:autoSpaceDE w:val="0"/>
              <w:autoSpaceDN w:val="0"/>
              <w:adjustRightInd w:val="0"/>
              <w:spacing w:after="0" w:line="360" w:lineRule="auto"/>
              <w:jc w:val="both"/>
              <w:rPr>
                <w:rFonts w:ascii="Arial" w:hAnsi="Arial" w:cs="Arial"/>
                <w:color w:val="000000"/>
                <w:sz w:val="18"/>
                <w:szCs w:val="18"/>
              </w:rPr>
            </w:pPr>
          </w:p>
        </w:tc>
        <w:tc>
          <w:tcPr>
            <w:tcW w:w="1116" w:type="dxa"/>
            <w:vMerge/>
            <w:shd w:val="clear" w:color="auto" w:fill="FFFFFF"/>
          </w:tcPr>
          <w:p w:rsidR="003A1940" w:rsidRPr="00FA4864" w:rsidRDefault="003A1940" w:rsidP="00D64362">
            <w:pPr>
              <w:autoSpaceDE w:val="0"/>
              <w:autoSpaceDN w:val="0"/>
              <w:adjustRightInd w:val="0"/>
              <w:spacing w:after="0" w:line="360" w:lineRule="auto"/>
              <w:jc w:val="both"/>
              <w:rPr>
                <w:rFonts w:ascii="Arial" w:hAnsi="Arial" w:cs="Arial"/>
                <w:color w:val="000000"/>
                <w:sz w:val="18"/>
                <w:szCs w:val="18"/>
              </w:rPr>
            </w:pPr>
          </w:p>
        </w:tc>
        <w:tc>
          <w:tcPr>
            <w:tcW w:w="780"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Statistic</w:t>
            </w:r>
          </w:p>
        </w:tc>
        <w:tc>
          <w:tcPr>
            <w:tcW w:w="514"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df</w:t>
            </w:r>
          </w:p>
        </w:tc>
        <w:tc>
          <w:tcPr>
            <w:tcW w:w="652"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Sig.</w:t>
            </w:r>
          </w:p>
        </w:tc>
        <w:tc>
          <w:tcPr>
            <w:tcW w:w="912"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Minimum</w:t>
            </w:r>
          </w:p>
        </w:tc>
        <w:tc>
          <w:tcPr>
            <w:tcW w:w="1010"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Maksimum</w:t>
            </w:r>
          </w:p>
        </w:tc>
        <w:tc>
          <w:tcPr>
            <w:tcW w:w="746" w:type="dxa"/>
            <w:shd w:val="clear" w:color="auto" w:fill="FFFFFF"/>
          </w:tcPr>
          <w:p w:rsidR="003A1940"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Mean</w:t>
            </w:r>
          </w:p>
        </w:tc>
      </w:tr>
      <w:tr w:rsidR="003A1940" w:rsidRPr="00FA4864" w:rsidTr="009860B8">
        <w:trPr>
          <w:cantSplit/>
          <w:jc w:val="center"/>
        </w:trPr>
        <w:tc>
          <w:tcPr>
            <w:tcW w:w="581" w:type="dxa"/>
            <w:vMerge w:val="restart"/>
            <w:tcBorders>
              <w:top w:val="single" w:sz="4" w:space="0" w:color="auto"/>
            </w:tcBorders>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NPL</w:t>
            </w:r>
          </w:p>
        </w:tc>
        <w:tc>
          <w:tcPr>
            <w:tcW w:w="1116"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Indonesia</w:t>
            </w:r>
          </w:p>
        </w:tc>
        <w:tc>
          <w:tcPr>
            <w:tcW w:w="780"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0,</w:t>
            </w:r>
            <w:r w:rsidRPr="00FA4864">
              <w:rPr>
                <w:rFonts w:ascii="Arial" w:hAnsi="Arial" w:cs="Arial"/>
                <w:color w:val="000000"/>
                <w:sz w:val="18"/>
                <w:szCs w:val="18"/>
              </w:rPr>
              <w:t>921</w:t>
            </w:r>
          </w:p>
        </w:tc>
        <w:tc>
          <w:tcPr>
            <w:tcW w:w="514"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12</w:t>
            </w:r>
          </w:p>
        </w:tc>
        <w:tc>
          <w:tcPr>
            <w:tcW w:w="652"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0,</w:t>
            </w:r>
            <w:r w:rsidRPr="00FA4864">
              <w:rPr>
                <w:rFonts w:ascii="Arial" w:hAnsi="Arial" w:cs="Arial"/>
                <w:color w:val="000000"/>
                <w:sz w:val="18"/>
                <w:szCs w:val="18"/>
              </w:rPr>
              <w:t>291</w:t>
            </w:r>
          </w:p>
        </w:tc>
        <w:tc>
          <w:tcPr>
            <w:tcW w:w="912"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1,30</w:t>
            </w:r>
          </w:p>
        </w:tc>
        <w:tc>
          <w:tcPr>
            <w:tcW w:w="1010"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3,92</w:t>
            </w:r>
          </w:p>
        </w:tc>
        <w:tc>
          <w:tcPr>
            <w:tcW w:w="746" w:type="dxa"/>
            <w:shd w:val="clear" w:color="auto" w:fill="FFFFFF"/>
          </w:tcPr>
          <w:p w:rsidR="003A1940"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2,25</w:t>
            </w:r>
          </w:p>
        </w:tc>
      </w:tr>
      <w:tr w:rsidR="003A1940" w:rsidRPr="00FA4864" w:rsidTr="009860B8">
        <w:trPr>
          <w:cantSplit/>
          <w:jc w:val="center"/>
        </w:trPr>
        <w:tc>
          <w:tcPr>
            <w:tcW w:w="581" w:type="dxa"/>
            <w:vMerge/>
            <w:shd w:val="clear" w:color="auto" w:fill="FFFFFF"/>
            <w:vAlign w:val="center"/>
          </w:tcPr>
          <w:p w:rsidR="003A1940" w:rsidRPr="00FA4864" w:rsidRDefault="003A1940" w:rsidP="00D64362">
            <w:pPr>
              <w:autoSpaceDE w:val="0"/>
              <w:autoSpaceDN w:val="0"/>
              <w:adjustRightInd w:val="0"/>
              <w:spacing w:after="0" w:line="360" w:lineRule="auto"/>
              <w:jc w:val="both"/>
              <w:rPr>
                <w:rFonts w:ascii="Arial" w:hAnsi="Arial" w:cs="Arial"/>
                <w:color w:val="000000"/>
                <w:sz w:val="18"/>
                <w:szCs w:val="18"/>
              </w:rPr>
            </w:pPr>
          </w:p>
        </w:tc>
        <w:tc>
          <w:tcPr>
            <w:tcW w:w="1116"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Malaysia</w:t>
            </w:r>
          </w:p>
        </w:tc>
        <w:tc>
          <w:tcPr>
            <w:tcW w:w="780"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0,</w:t>
            </w:r>
            <w:r w:rsidRPr="00FA4864">
              <w:rPr>
                <w:rFonts w:ascii="Arial" w:hAnsi="Arial" w:cs="Arial"/>
                <w:color w:val="000000"/>
                <w:sz w:val="18"/>
                <w:szCs w:val="18"/>
              </w:rPr>
              <w:t>826</w:t>
            </w:r>
          </w:p>
        </w:tc>
        <w:tc>
          <w:tcPr>
            <w:tcW w:w="514"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12</w:t>
            </w:r>
          </w:p>
        </w:tc>
        <w:tc>
          <w:tcPr>
            <w:tcW w:w="652"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0,</w:t>
            </w:r>
            <w:r w:rsidRPr="00FA4864">
              <w:rPr>
                <w:rFonts w:ascii="Arial" w:hAnsi="Arial" w:cs="Arial"/>
                <w:color w:val="000000"/>
                <w:sz w:val="18"/>
                <w:szCs w:val="18"/>
              </w:rPr>
              <w:t>019</w:t>
            </w:r>
          </w:p>
        </w:tc>
        <w:tc>
          <w:tcPr>
            <w:tcW w:w="912"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0,70</w:t>
            </w:r>
          </w:p>
        </w:tc>
        <w:tc>
          <w:tcPr>
            <w:tcW w:w="1010"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3,40</w:t>
            </w:r>
          </w:p>
        </w:tc>
        <w:tc>
          <w:tcPr>
            <w:tcW w:w="746" w:type="dxa"/>
            <w:shd w:val="clear" w:color="auto" w:fill="FFFFFF"/>
          </w:tcPr>
          <w:p w:rsidR="003A1940"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1,82</w:t>
            </w:r>
          </w:p>
        </w:tc>
      </w:tr>
      <w:tr w:rsidR="003A1940" w:rsidRPr="00FA4864" w:rsidTr="009860B8">
        <w:trPr>
          <w:cantSplit/>
          <w:jc w:val="center"/>
        </w:trPr>
        <w:tc>
          <w:tcPr>
            <w:tcW w:w="581" w:type="dxa"/>
            <w:vMerge/>
            <w:shd w:val="clear" w:color="auto" w:fill="FFFFFF"/>
            <w:vAlign w:val="center"/>
          </w:tcPr>
          <w:p w:rsidR="003A1940" w:rsidRPr="00FA4864" w:rsidRDefault="003A1940" w:rsidP="00D64362">
            <w:pPr>
              <w:autoSpaceDE w:val="0"/>
              <w:autoSpaceDN w:val="0"/>
              <w:adjustRightInd w:val="0"/>
              <w:spacing w:after="0" w:line="360" w:lineRule="auto"/>
              <w:jc w:val="both"/>
              <w:rPr>
                <w:rFonts w:ascii="Arial" w:hAnsi="Arial" w:cs="Arial"/>
                <w:color w:val="000000"/>
                <w:sz w:val="18"/>
                <w:szCs w:val="18"/>
              </w:rPr>
            </w:pPr>
          </w:p>
        </w:tc>
        <w:tc>
          <w:tcPr>
            <w:tcW w:w="1116"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Thailand</w:t>
            </w:r>
          </w:p>
        </w:tc>
        <w:tc>
          <w:tcPr>
            <w:tcW w:w="780"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0,</w:t>
            </w:r>
            <w:r w:rsidRPr="00FA4864">
              <w:rPr>
                <w:rFonts w:ascii="Arial" w:hAnsi="Arial" w:cs="Arial"/>
                <w:color w:val="000000"/>
                <w:sz w:val="18"/>
                <w:szCs w:val="18"/>
              </w:rPr>
              <w:t>883</w:t>
            </w:r>
          </w:p>
        </w:tc>
        <w:tc>
          <w:tcPr>
            <w:tcW w:w="514"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sidRPr="00FA4864">
              <w:rPr>
                <w:rFonts w:ascii="Arial" w:hAnsi="Arial" w:cs="Arial"/>
                <w:color w:val="000000"/>
                <w:sz w:val="18"/>
                <w:szCs w:val="18"/>
              </w:rPr>
              <w:t>12</w:t>
            </w:r>
          </w:p>
        </w:tc>
        <w:tc>
          <w:tcPr>
            <w:tcW w:w="652" w:type="dxa"/>
            <w:shd w:val="clear" w:color="auto" w:fill="FFFFFF"/>
            <w:vAlign w:val="center"/>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0,</w:t>
            </w:r>
            <w:r w:rsidRPr="00FA4864">
              <w:rPr>
                <w:rFonts w:ascii="Arial" w:hAnsi="Arial" w:cs="Arial"/>
                <w:color w:val="000000"/>
                <w:sz w:val="18"/>
                <w:szCs w:val="18"/>
              </w:rPr>
              <w:t>096</w:t>
            </w:r>
          </w:p>
        </w:tc>
        <w:tc>
          <w:tcPr>
            <w:tcW w:w="912"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3,22</w:t>
            </w:r>
          </w:p>
        </w:tc>
        <w:tc>
          <w:tcPr>
            <w:tcW w:w="1010"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4,53</w:t>
            </w:r>
          </w:p>
        </w:tc>
        <w:tc>
          <w:tcPr>
            <w:tcW w:w="746" w:type="dxa"/>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3,70</w:t>
            </w:r>
          </w:p>
        </w:tc>
      </w:tr>
    </w:tbl>
    <w:p w:rsidR="00FA4864" w:rsidRDefault="00FA4864" w:rsidP="00D64362">
      <w:pPr>
        <w:autoSpaceDE w:val="0"/>
        <w:autoSpaceDN w:val="0"/>
        <w:adjustRightInd w:val="0"/>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Sumber: Output SPSS (data diolah)</w:t>
      </w:r>
    </w:p>
    <w:p w:rsidR="00FA4864" w:rsidRDefault="00FA4864" w:rsidP="00D64362">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tabel 2 dapat diketahui bahwa NPL pada negara Indonesia dan Thailand menunjukkan nilai signifiknsi </w:t>
      </w:r>
      <w:r w:rsidR="00143EBF">
        <w:rPr>
          <w:rFonts w:ascii="Times New Roman" w:hAnsi="Times New Roman" w:cs="Times New Roman"/>
          <w:sz w:val="24"/>
          <w:szCs w:val="24"/>
        </w:rPr>
        <w:t xml:space="preserve">lebih dari 0,05, yakni </w:t>
      </w:r>
      <w:r>
        <w:rPr>
          <w:rFonts w:ascii="Times New Roman" w:hAnsi="Times New Roman" w:cs="Times New Roman"/>
          <w:sz w:val="24"/>
          <w:szCs w:val="24"/>
        </w:rPr>
        <w:t xml:space="preserve">0,291 dan 0,096. Artinya, rasio NPL </w:t>
      </w:r>
      <w:r>
        <w:rPr>
          <w:rFonts w:ascii="Times New Roman" w:hAnsi="Times New Roman" w:cs="Times New Roman"/>
          <w:sz w:val="24"/>
          <w:szCs w:val="24"/>
        </w:rPr>
        <w:lastRenderedPageBreak/>
        <w:t xml:space="preserve">perbankan di Negara Indonesia dan Negara </w:t>
      </w:r>
      <w:r w:rsidR="00143EBF">
        <w:rPr>
          <w:rFonts w:ascii="Times New Roman" w:hAnsi="Times New Roman" w:cs="Times New Roman"/>
          <w:sz w:val="24"/>
          <w:szCs w:val="24"/>
        </w:rPr>
        <w:t>Thailand</w:t>
      </w:r>
      <w:r>
        <w:rPr>
          <w:rFonts w:ascii="Times New Roman" w:hAnsi="Times New Roman" w:cs="Times New Roman"/>
          <w:sz w:val="24"/>
          <w:szCs w:val="24"/>
        </w:rPr>
        <w:t xml:space="preserve"> berdistribusi normal. Namun berbeda dengan negara </w:t>
      </w:r>
      <w:r w:rsidR="00143EBF">
        <w:rPr>
          <w:rFonts w:ascii="Times New Roman" w:hAnsi="Times New Roman" w:cs="Times New Roman"/>
          <w:sz w:val="24"/>
          <w:szCs w:val="24"/>
        </w:rPr>
        <w:t>Malaysia</w:t>
      </w:r>
      <w:r>
        <w:rPr>
          <w:rFonts w:ascii="Times New Roman" w:hAnsi="Times New Roman" w:cs="Times New Roman"/>
          <w:sz w:val="24"/>
          <w:szCs w:val="24"/>
        </w:rPr>
        <w:t xml:space="preserve">, </w:t>
      </w:r>
      <w:r w:rsidR="00143EBF">
        <w:rPr>
          <w:rFonts w:ascii="Times New Roman" w:hAnsi="Times New Roman" w:cs="Times New Roman"/>
          <w:sz w:val="24"/>
          <w:szCs w:val="24"/>
        </w:rPr>
        <w:t>hasil uji normalitas rasio NPL</w:t>
      </w:r>
      <w:r>
        <w:rPr>
          <w:rFonts w:ascii="Times New Roman" w:hAnsi="Times New Roman" w:cs="Times New Roman"/>
          <w:sz w:val="24"/>
          <w:szCs w:val="24"/>
        </w:rPr>
        <w:t xml:space="preserve"> menun</w:t>
      </w:r>
      <w:r w:rsidR="00143EBF">
        <w:rPr>
          <w:rFonts w:ascii="Times New Roman" w:hAnsi="Times New Roman" w:cs="Times New Roman"/>
          <w:sz w:val="24"/>
          <w:szCs w:val="24"/>
        </w:rPr>
        <w:t>jukkan nilai signifikansi 0,019</w:t>
      </w:r>
      <w:r>
        <w:rPr>
          <w:rFonts w:ascii="Times New Roman" w:hAnsi="Times New Roman" w:cs="Times New Roman"/>
          <w:sz w:val="24"/>
          <w:szCs w:val="24"/>
        </w:rPr>
        <w:t xml:space="preserve">. Artinya, rasio </w:t>
      </w:r>
      <w:r w:rsidR="00143EBF">
        <w:rPr>
          <w:rFonts w:ascii="Times New Roman" w:hAnsi="Times New Roman" w:cs="Times New Roman"/>
          <w:sz w:val="24"/>
          <w:szCs w:val="24"/>
        </w:rPr>
        <w:t>NPL</w:t>
      </w:r>
      <w:r>
        <w:rPr>
          <w:rFonts w:ascii="Times New Roman" w:hAnsi="Times New Roman" w:cs="Times New Roman"/>
          <w:sz w:val="24"/>
          <w:szCs w:val="24"/>
        </w:rPr>
        <w:t xml:space="preserve"> pada perbankan di Negara </w:t>
      </w:r>
      <w:r w:rsidR="00143EBF">
        <w:rPr>
          <w:rFonts w:ascii="Times New Roman" w:hAnsi="Times New Roman" w:cs="Times New Roman"/>
          <w:sz w:val="24"/>
          <w:szCs w:val="24"/>
        </w:rPr>
        <w:t xml:space="preserve">Malaysia </w:t>
      </w:r>
      <w:r>
        <w:rPr>
          <w:rFonts w:ascii="Times New Roman" w:hAnsi="Times New Roman" w:cs="Times New Roman"/>
          <w:sz w:val="24"/>
          <w:szCs w:val="24"/>
        </w:rPr>
        <w:t>tidak berdistribusi Normal</w:t>
      </w:r>
    </w:p>
    <w:p w:rsidR="00771C53" w:rsidRPr="00771C53" w:rsidRDefault="007E1036" w:rsidP="00D6436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3</w:t>
      </w:r>
      <w:r w:rsidR="00334062">
        <w:rPr>
          <w:rFonts w:ascii="Times New Roman" w:hAnsi="Times New Roman" w:cs="Times New Roman"/>
          <w:sz w:val="24"/>
          <w:szCs w:val="24"/>
        </w:rPr>
        <w:t>. Hasil Uji Normalitas Variabel LDR</w:t>
      </w:r>
    </w:p>
    <w:tbl>
      <w:tblPr>
        <w:tblW w:w="61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5"/>
        <w:gridCol w:w="990"/>
        <w:gridCol w:w="873"/>
        <w:gridCol w:w="450"/>
        <w:gridCol w:w="637"/>
        <w:gridCol w:w="908"/>
        <w:gridCol w:w="1010"/>
        <w:gridCol w:w="678"/>
      </w:tblGrid>
      <w:tr w:rsidR="003A1940" w:rsidRPr="00771C53" w:rsidTr="009B7D9E">
        <w:trPr>
          <w:cantSplit/>
          <w:jc w:val="center"/>
        </w:trPr>
        <w:tc>
          <w:tcPr>
            <w:tcW w:w="625" w:type="dxa"/>
            <w:tcBorders>
              <w:top w:val="single" w:sz="4" w:space="0" w:color="auto"/>
              <w:left w:val="nil"/>
              <w:bottom w:val="nil"/>
              <w:right w:val="nil"/>
            </w:tcBorders>
            <w:shd w:val="clear" w:color="auto" w:fill="auto"/>
            <w:vAlign w:val="center"/>
          </w:tcPr>
          <w:p w:rsidR="003A1940" w:rsidRPr="00771C53" w:rsidRDefault="003A1940" w:rsidP="00D64362">
            <w:pPr>
              <w:autoSpaceDE w:val="0"/>
              <w:autoSpaceDN w:val="0"/>
              <w:adjustRightInd w:val="0"/>
              <w:spacing w:after="0" w:line="360" w:lineRule="auto"/>
              <w:rPr>
                <w:rFonts w:ascii="Arial" w:hAnsi="Arial" w:cs="Arial"/>
                <w:color w:val="000000"/>
                <w:sz w:val="18"/>
                <w:szCs w:val="18"/>
              </w:rPr>
            </w:pPr>
          </w:p>
        </w:tc>
        <w:tc>
          <w:tcPr>
            <w:tcW w:w="990" w:type="dxa"/>
            <w:vMerge w:val="restart"/>
            <w:tcBorders>
              <w:top w:val="single" w:sz="4" w:space="0" w:color="auto"/>
              <w:left w:val="nil"/>
              <w:bottom w:val="single" w:sz="4" w:space="0" w:color="auto"/>
              <w:right w:val="nil"/>
            </w:tcBorders>
            <w:shd w:val="clear" w:color="auto" w:fill="auto"/>
          </w:tcPr>
          <w:p w:rsidR="003A1940" w:rsidRPr="00771C53" w:rsidRDefault="003A1940" w:rsidP="00D64362">
            <w:pPr>
              <w:autoSpaceDE w:val="0"/>
              <w:autoSpaceDN w:val="0"/>
              <w:adjustRightInd w:val="0"/>
              <w:spacing w:after="0" w:line="360" w:lineRule="auto"/>
              <w:ind w:left="60" w:right="60"/>
              <w:rPr>
                <w:rFonts w:ascii="Arial" w:hAnsi="Arial" w:cs="Arial"/>
                <w:color w:val="000000"/>
                <w:sz w:val="18"/>
                <w:szCs w:val="18"/>
              </w:rPr>
            </w:pPr>
            <w:r w:rsidRPr="00771C53">
              <w:rPr>
                <w:rFonts w:ascii="Arial" w:hAnsi="Arial" w:cs="Arial"/>
                <w:color w:val="000000"/>
                <w:sz w:val="18"/>
                <w:szCs w:val="18"/>
              </w:rPr>
              <w:t>Negara</w:t>
            </w:r>
          </w:p>
        </w:tc>
        <w:tc>
          <w:tcPr>
            <w:tcW w:w="1960" w:type="dxa"/>
            <w:gridSpan w:val="3"/>
            <w:tcBorders>
              <w:top w:val="single" w:sz="4" w:space="0" w:color="auto"/>
              <w:left w:val="nil"/>
              <w:bottom w:val="single" w:sz="4" w:space="0" w:color="auto"/>
              <w:right w:val="nil"/>
            </w:tcBorders>
            <w:shd w:val="clear" w:color="auto" w:fill="auto"/>
          </w:tcPr>
          <w:p w:rsidR="003A1940" w:rsidRPr="00771C53"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sidRPr="00771C53">
              <w:rPr>
                <w:rFonts w:ascii="Arial" w:hAnsi="Arial" w:cs="Arial"/>
                <w:color w:val="000000"/>
                <w:sz w:val="18"/>
                <w:szCs w:val="18"/>
              </w:rPr>
              <w:t>Shapiro-Wilk</w:t>
            </w:r>
          </w:p>
        </w:tc>
        <w:tc>
          <w:tcPr>
            <w:tcW w:w="2596" w:type="dxa"/>
            <w:gridSpan w:val="3"/>
            <w:tcBorders>
              <w:top w:val="single" w:sz="4" w:space="0" w:color="auto"/>
              <w:left w:val="nil"/>
              <w:right w:val="nil"/>
            </w:tcBorders>
          </w:tcPr>
          <w:p w:rsidR="003A1940"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Statistic</w:t>
            </w:r>
          </w:p>
        </w:tc>
      </w:tr>
      <w:tr w:rsidR="003A1940" w:rsidRPr="00771C53" w:rsidTr="009860B8">
        <w:trPr>
          <w:cantSplit/>
          <w:jc w:val="center"/>
        </w:trPr>
        <w:tc>
          <w:tcPr>
            <w:tcW w:w="625" w:type="dxa"/>
            <w:tcBorders>
              <w:top w:val="nil"/>
              <w:left w:val="nil"/>
              <w:bottom w:val="single" w:sz="4" w:space="0" w:color="auto"/>
              <w:right w:val="nil"/>
            </w:tcBorders>
            <w:shd w:val="clear" w:color="auto" w:fill="auto"/>
            <w:vAlign w:val="center"/>
          </w:tcPr>
          <w:p w:rsidR="003A1940" w:rsidRPr="00771C53" w:rsidRDefault="003A1940" w:rsidP="00D64362">
            <w:pPr>
              <w:autoSpaceDE w:val="0"/>
              <w:autoSpaceDN w:val="0"/>
              <w:adjustRightInd w:val="0"/>
              <w:spacing w:after="0" w:line="360" w:lineRule="auto"/>
              <w:rPr>
                <w:rFonts w:ascii="Arial" w:hAnsi="Arial" w:cs="Arial"/>
                <w:color w:val="000000"/>
                <w:sz w:val="18"/>
                <w:szCs w:val="18"/>
              </w:rPr>
            </w:pPr>
          </w:p>
        </w:tc>
        <w:tc>
          <w:tcPr>
            <w:tcW w:w="990" w:type="dxa"/>
            <w:vMerge/>
            <w:tcBorders>
              <w:top w:val="single" w:sz="4" w:space="0" w:color="auto"/>
              <w:left w:val="nil"/>
              <w:bottom w:val="single" w:sz="4" w:space="0" w:color="auto"/>
              <w:right w:val="nil"/>
            </w:tcBorders>
            <w:shd w:val="clear" w:color="auto" w:fill="auto"/>
          </w:tcPr>
          <w:p w:rsidR="003A1940" w:rsidRPr="00771C53" w:rsidRDefault="003A1940" w:rsidP="00D64362">
            <w:pPr>
              <w:autoSpaceDE w:val="0"/>
              <w:autoSpaceDN w:val="0"/>
              <w:adjustRightInd w:val="0"/>
              <w:spacing w:after="0" w:line="360" w:lineRule="auto"/>
              <w:rPr>
                <w:rFonts w:ascii="Arial" w:hAnsi="Arial" w:cs="Arial"/>
                <w:color w:val="000000"/>
                <w:sz w:val="18"/>
                <w:szCs w:val="18"/>
              </w:rPr>
            </w:pPr>
          </w:p>
        </w:tc>
        <w:tc>
          <w:tcPr>
            <w:tcW w:w="873" w:type="dxa"/>
            <w:tcBorders>
              <w:top w:val="single" w:sz="4" w:space="0" w:color="auto"/>
              <w:left w:val="nil"/>
              <w:bottom w:val="single" w:sz="4" w:space="0" w:color="auto"/>
              <w:right w:val="nil"/>
            </w:tcBorders>
            <w:shd w:val="clear" w:color="auto" w:fill="auto"/>
          </w:tcPr>
          <w:p w:rsidR="003A1940" w:rsidRPr="00771C53"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sidRPr="00771C53">
              <w:rPr>
                <w:rFonts w:ascii="Arial" w:hAnsi="Arial" w:cs="Arial"/>
                <w:color w:val="000000"/>
                <w:sz w:val="18"/>
                <w:szCs w:val="18"/>
              </w:rPr>
              <w:t>Statistic</w:t>
            </w:r>
          </w:p>
        </w:tc>
        <w:tc>
          <w:tcPr>
            <w:tcW w:w="450" w:type="dxa"/>
            <w:tcBorders>
              <w:top w:val="single" w:sz="4" w:space="0" w:color="auto"/>
              <w:left w:val="nil"/>
              <w:bottom w:val="single" w:sz="4" w:space="0" w:color="auto"/>
              <w:right w:val="nil"/>
            </w:tcBorders>
            <w:shd w:val="clear" w:color="auto" w:fill="auto"/>
          </w:tcPr>
          <w:p w:rsidR="003A1940" w:rsidRPr="00771C53"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sidRPr="00771C53">
              <w:rPr>
                <w:rFonts w:ascii="Arial" w:hAnsi="Arial" w:cs="Arial"/>
                <w:color w:val="000000"/>
                <w:sz w:val="18"/>
                <w:szCs w:val="18"/>
              </w:rPr>
              <w:t>df</w:t>
            </w:r>
          </w:p>
        </w:tc>
        <w:tc>
          <w:tcPr>
            <w:tcW w:w="637" w:type="dxa"/>
            <w:tcBorders>
              <w:top w:val="single" w:sz="4" w:space="0" w:color="auto"/>
              <w:left w:val="nil"/>
              <w:bottom w:val="single" w:sz="4" w:space="0" w:color="auto"/>
              <w:right w:val="nil"/>
            </w:tcBorders>
            <w:shd w:val="clear" w:color="auto" w:fill="auto"/>
          </w:tcPr>
          <w:p w:rsidR="003A1940" w:rsidRPr="00771C53"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sidRPr="00771C53">
              <w:rPr>
                <w:rFonts w:ascii="Arial" w:hAnsi="Arial" w:cs="Arial"/>
                <w:color w:val="000000"/>
                <w:sz w:val="18"/>
                <w:szCs w:val="18"/>
              </w:rPr>
              <w:t>Sig.</w:t>
            </w:r>
          </w:p>
        </w:tc>
        <w:tc>
          <w:tcPr>
            <w:tcW w:w="908" w:type="dxa"/>
            <w:tcBorders>
              <w:left w:val="nil"/>
              <w:bottom w:val="single" w:sz="4" w:space="0" w:color="auto"/>
              <w:right w:val="nil"/>
            </w:tcBorders>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Minimum</w:t>
            </w:r>
          </w:p>
        </w:tc>
        <w:tc>
          <w:tcPr>
            <w:tcW w:w="1010" w:type="dxa"/>
            <w:tcBorders>
              <w:left w:val="nil"/>
              <w:bottom w:val="single" w:sz="4" w:space="0" w:color="auto"/>
              <w:right w:val="nil"/>
            </w:tcBorders>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Maksimum</w:t>
            </w:r>
          </w:p>
        </w:tc>
        <w:tc>
          <w:tcPr>
            <w:tcW w:w="678" w:type="dxa"/>
            <w:tcBorders>
              <w:left w:val="nil"/>
              <w:bottom w:val="single" w:sz="4" w:space="0" w:color="auto"/>
              <w:right w:val="nil"/>
            </w:tcBorders>
          </w:tcPr>
          <w:p w:rsidR="003A1940"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Mean</w:t>
            </w:r>
          </w:p>
        </w:tc>
      </w:tr>
      <w:tr w:rsidR="003A1940" w:rsidRPr="00771C53" w:rsidTr="009860B8">
        <w:trPr>
          <w:cantSplit/>
          <w:jc w:val="center"/>
        </w:trPr>
        <w:tc>
          <w:tcPr>
            <w:tcW w:w="625" w:type="dxa"/>
            <w:vMerge w:val="restart"/>
            <w:tcBorders>
              <w:top w:val="single" w:sz="4" w:space="0" w:color="auto"/>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rPr>
                <w:rFonts w:ascii="Arial" w:hAnsi="Arial" w:cs="Arial"/>
                <w:color w:val="000000"/>
                <w:sz w:val="18"/>
                <w:szCs w:val="18"/>
              </w:rPr>
            </w:pPr>
            <w:r w:rsidRPr="00771C53">
              <w:rPr>
                <w:rFonts w:ascii="Arial" w:hAnsi="Arial" w:cs="Arial"/>
                <w:color w:val="000000"/>
                <w:sz w:val="18"/>
                <w:szCs w:val="18"/>
              </w:rPr>
              <w:t>LDR</w:t>
            </w:r>
          </w:p>
        </w:tc>
        <w:tc>
          <w:tcPr>
            <w:tcW w:w="990" w:type="dxa"/>
            <w:tcBorders>
              <w:top w:val="single" w:sz="4" w:space="0" w:color="auto"/>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rPr>
                <w:rFonts w:ascii="Arial" w:hAnsi="Arial" w:cs="Arial"/>
                <w:color w:val="000000"/>
                <w:sz w:val="18"/>
                <w:szCs w:val="18"/>
              </w:rPr>
            </w:pPr>
            <w:r w:rsidRPr="00771C53">
              <w:rPr>
                <w:rFonts w:ascii="Arial" w:hAnsi="Arial" w:cs="Arial"/>
                <w:color w:val="000000"/>
                <w:sz w:val="18"/>
                <w:szCs w:val="18"/>
              </w:rPr>
              <w:t>Indonesia</w:t>
            </w:r>
          </w:p>
        </w:tc>
        <w:tc>
          <w:tcPr>
            <w:tcW w:w="873" w:type="dxa"/>
            <w:tcBorders>
              <w:top w:val="single" w:sz="4" w:space="0" w:color="auto"/>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771C53">
              <w:rPr>
                <w:rFonts w:ascii="Arial" w:hAnsi="Arial" w:cs="Arial"/>
                <w:color w:val="000000"/>
                <w:sz w:val="18"/>
                <w:szCs w:val="18"/>
              </w:rPr>
              <w:t>955</w:t>
            </w:r>
          </w:p>
        </w:tc>
        <w:tc>
          <w:tcPr>
            <w:tcW w:w="450" w:type="dxa"/>
            <w:tcBorders>
              <w:top w:val="single" w:sz="4" w:space="0" w:color="auto"/>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sidRPr="00771C53">
              <w:rPr>
                <w:rFonts w:ascii="Arial" w:hAnsi="Arial" w:cs="Arial"/>
                <w:color w:val="000000"/>
                <w:sz w:val="18"/>
                <w:szCs w:val="18"/>
              </w:rPr>
              <w:t>12</w:t>
            </w:r>
          </w:p>
        </w:tc>
        <w:tc>
          <w:tcPr>
            <w:tcW w:w="637" w:type="dxa"/>
            <w:tcBorders>
              <w:top w:val="single" w:sz="4" w:space="0" w:color="auto"/>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771C53">
              <w:rPr>
                <w:rFonts w:ascii="Arial" w:hAnsi="Arial" w:cs="Arial"/>
                <w:color w:val="000000"/>
                <w:sz w:val="18"/>
                <w:szCs w:val="18"/>
              </w:rPr>
              <w:t>716</w:t>
            </w:r>
          </w:p>
        </w:tc>
        <w:tc>
          <w:tcPr>
            <w:tcW w:w="908" w:type="dxa"/>
            <w:tcBorders>
              <w:top w:val="single" w:sz="4" w:space="0" w:color="auto"/>
              <w:left w:val="nil"/>
              <w:bottom w:val="nil"/>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77,10</w:t>
            </w:r>
          </w:p>
        </w:tc>
        <w:tc>
          <w:tcPr>
            <w:tcW w:w="1010" w:type="dxa"/>
            <w:tcBorders>
              <w:top w:val="single" w:sz="4" w:space="0" w:color="auto"/>
              <w:left w:val="nil"/>
              <w:bottom w:val="nil"/>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96,69</w:t>
            </w:r>
          </w:p>
        </w:tc>
        <w:tc>
          <w:tcPr>
            <w:tcW w:w="678" w:type="dxa"/>
            <w:tcBorders>
              <w:top w:val="single" w:sz="4" w:space="0" w:color="auto"/>
              <w:left w:val="nil"/>
              <w:bottom w:val="nil"/>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86,11</w:t>
            </w:r>
          </w:p>
        </w:tc>
      </w:tr>
      <w:tr w:rsidR="003A1940" w:rsidRPr="00771C53" w:rsidTr="009860B8">
        <w:trPr>
          <w:cantSplit/>
          <w:jc w:val="center"/>
        </w:trPr>
        <w:tc>
          <w:tcPr>
            <w:tcW w:w="625" w:type="dxa"/>
            <w:vMerge/>
            <w:tcBorders>
              <w:top w:val="nil"/>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rPr>
                <w:rFonts w:ascii="Arial" w:hAnsi="Arial" w:cs="Arial"/>
                <w:color w:val="000000"/>
                <w:sz w:val="18"/>
                <w:szCs w:val="18"/>
              </w:rPr>
            </w:pPr>
          </w:p>
        </w:tc>
        <w:tc>
          <w:tcPr>
            <w:tcW w:w="990" w:type="dxa"/>
            <w:tcBorders>
              <w:top w:val="nil"/>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rPr>
                <w:rFonts w:ascii="Arial" w:hAnsi="Arial" w:cs="Arial"/>
                <w:color w:val="000000"/>
                <w:sz w:val="18"/>
                <w:szCs w:val="18"/>
              </w:rPr>
            </w:pPr>
            <w:r w:rsidRPr="00771C53">
              <w:rPr>
                <w:rFonts w:ascii="Arial" w:hAnsi="Arial" w:cs="Arial"/>
                <w:color w:val="000000"/>
                <w:sz w:val="18"/>
                <w:szCs w:val="18"/>
              </w:rPr>
              <w:t>Malaysia</w:t>
            </w:r>
          </w:p>
        </w:tc>
        <w:tc>
          <w:tcPr>
            <w:tcW w:w="873" w:type="dxa"/>
            <w:tcBorders>
              <w:top w:val="nil"/>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771C53">
              <w:rPr>
                <w:rFonts w:ascii="Arial" w:hAnsi="Arial" w:cs="Arial"/>
                <w:color w:val="000000"/>
                <w:sz w:val="18"/>
                <w:szCs w:val="18"/>
              </w:rPr>
              <w:t>835</w:t>
            </w:r>
          </w:p>
        </w:tc>
        <w:tc>
          <w:tcPr>
            <w:tcW w:w="450" w:type="dxa"/>
            <w:tcBorders>
              <w:top w:val="nil"/>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sidRPr="00771C53">
              <w:rPr>
                <w:rFonts w:ascii="Arial" w:hAnsi="Arial" w:cs="Arial"/>
                <w:color w:val="000000"/>
                <w:sz w:val="18"/>
                <w:szCs w:val="18"/>
              </w:rPr>
              <w:t>12</w:t>
            </w:r>
          </w:p>
        </w:tc>
        <w:tc>
          <w:tcPr>
            <w:tcW w:w="637" w:type="dxa"/>
            <w:tcBorders>
              <w:top w:val="nil"/>
              <w:left w:val="nil"/>
              <w:bottom w:val="nil"/>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771C53">
              <w:rPr>
                <w:rFonts w:ascii="Arial" w:hAnsi="Arial" w:cs="Arial"/>
                <w:color w:val="000000"/>
                <w:sz w:val="18"/>
                <w:szCs w:val="18"/>
              </w:rPr>
              <w:t>024</w:t>
            </w:r>
          </w:p>
        </w:tc>
        <w:tc>
          <w:tcPr>
            <w:tcW w:w="908" w:type="dxa"/>
            <w:tcBorders>
              <w:top w:val="nil"/>
              <w:left w:val="nil"/>
              <w:bottom w:val="nil"/>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80,60</w:t>
            </w:r>
          </w:p>
        </w:tc>
        <w:tc>
          <w:tcPr>
            <w:tcW w:w="1010" w:type="dxa"/>
            <w:tcBorders>
              <w:top w:val="nil"/>
              <w:left w:val="nil"/>
              <w:bottom w:val="nil"/>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95,60</w:t>
            </w:r>
          </w:p>
        </w:tc>
        <w:tc>
          <w:tcPr>
            <w:tcW w:w="678" w:type="dxa"/>
            <w:tcBorders>
              <w:top w:val="nil"/>
              <w:left w:val="nil"/>
              <w:bottom w:val="nil"/>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89,21</w:t>
            </w:r>
          </w:p>
        </w:tc>
      </w:tr>
      <w:tr w:rsidR="003A1940" w:rsidRPr="00771C53" w:rsidTr="009860B8">
        <w:trPr>
          <w:cantSplit/>
          <w:jc w:val="center"/>
        </w:trPr>
        <w:tc>
          <w:tcPr>
            <w:tcW w:w="625" w:type="dxa"/>
            <w:vMerge/>
            <w:tcBorders>
              <w:top w:val="nil"/>
              <w:left w:val="nil"/>
              <w:bottom w:val="single" w:sz="4" w:space="0" w:color="auto"/>
              <w:right w:val="nil"/>
            </w:tcBorders>
            <w:shd w:val="clear" w:color="auto" w:fill="FFFFFF"/>
            <w:vAlign w:val="center"/>
          </w:tcPr>
          <w:p w:rsidR="003A1940" w:rsidRPr="00771C53" w:rsidRDefault="003A1940" w:rsidP="00D64362">
            <w:pPr>
              <w:autoSpaceDE w:val="0"/>
              <w:autoSpaceDN w:val="0"/>
              <w:adjustRightInd w:val="0"/>
              <w:spacing w:after="0" w:line="360" w:lineRule="auto"/>
              <w:rPr>
                <w:rFonts w:ascii="Arial" w:hAnsi="Arial" w:cs="Arial"/>
                <w:color w:val="000000"/>
                <w:sz w:val="18"/>
                <w:szCs w:val="18"/>
              </w:rPr>
            </w:pPr>
          </w:p>
        </w:tc>
        <w:tc>
          <w:tcPr>
            <w:tcW w:w="990" w:type="dxa"/>
            <w:tcBorders>
              <w:top w:val="nil"/>
              <w:left w:val="nil"/>
              <w:bottom w:val="single" w:sz="4" w:space="0" w:color="auto"/>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rPr>
                <w:rFonts w:ascii="Arial" w:hAnsi="Arial" w:cs="Arial"/>
                <w:color w:val="000000"/>
                <w:sz w:val="18"/>
                <w:szCs w:val="18"/>
              </w:rPr>
            </w:pPr>
            <w:r w:rsidRPr="00771C53">
              <w:rPr>
                <w:rFonts w:ascii="Arial" w:hAnsi="Arial" w:cs="Arial"/>
                <w:color w:val="000000"/>
                <w:sz w:val="18"/>
                <w:szCs w:val="18"/>
              </w:rPr>
              <w:t>Thailand</w:t>
            </w:r>
          </w:p>
        </w:tc>
        <w:tc>
          <w:tcPr>
            <w:tcW w:w="873" w:type="dxa"/>
            <w:tcBorders>
              <w:top w:val="nil"/>
              <w:left w:val="nil"/>
              <w:bottom w:val="single" w:sz="4" w:space="0" w:color="auto"/>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771C53">
              <w:rPr>
                <w:rFonts w:ascii="Arial" w:hAnsi="Arial" w:cs="Arial"/>
                <w:color w:val="000000"/>
                <w:sz w:val="18"/>
                <w:szCs w:val="18"/>
              </w:rPr>
              <w:t>855</w:t>
            </w:r>
          </w:p>
        </w:tc>
        <w:tc>
          <w:tcPr>
            <w:tcW w:w="450" w:type="dxa"/>
            <w:tcBorders>
              <w:top w:val="nil"/>
              <w:left w:val="nil"/>
              <w:bottom w:val="single" w:sz="4" w:space="0" w:color="auto"/>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sidRPr="00771C53">
              <w:rPr>
                <w:rFonts w:ascii="Arial" w:hAnsi="Arial" w:cs="Arial"/>
                <w:color w:val="000000"/>
                <w:sz w:val="18"/>
                <w:szCs w:val="18"/>
              </w:rPr>
              <w:t>12</w:t>
            </w:r>
          </w:p>
        </w:tc>
        <w:tc>
          <w:tcPr>
            <w:tcW w:w="637" w:type="dxa"/>
            <w:tcBorders>
              <w:top w:val="nil"/>
              <w:left w:val="nil"/>
              <w:bottom w:val="single" w:sz="4" w:space="0" w:color="auto"/>
              <w:right w:val="nil"/>
            </w:tcBorders>
            <w:shd w:val="clear" w:color="auto" w:fill="FFFFFF"/>
            <w:vAlign w:val="center"/>
          </w:tcPr>
          <w:p w:rsidR="003A1940" w:rsidRPr="00771C53"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771C53">
              <w:rPr>
                <w:rFonts w:ascii="Arial" w:hAnsi="Arial" w:cs="Arial"/>
                <w:color w:val="000000"/>
                <w:sz w:val="18"/>
                <w:szCs w:val="18"/>
              </w:rPr>
              <w:t>042</w:t>
            </w:r>
          </w:p>
        </w:tc>
        <w:tc>
          <w:tcPr>
            <w:tcW w:w="908" w:type="dxa"/>
            <w:tcBorders>
              <w:top w:val="nil"/>
              <w:left w:val="nil"/>
              <w:bottom w:val="single" w:sz="4" w:space="0" w:color="auto"/>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86,72</w:t>
            </w:r>
          </w:p>
        </w:tc>
        <w:tc>
          <w:tcPr>
            <w:tcW w:w="1010" w:type="dxa"/>
            <w:tcBorders>
              <w:top w:val="nil"/>
              <w:left w:val="nil"/>
              <w:bottom w:val="single" w:sz="4" w:space="0" w:color="auto"/>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96,62</w:t>
            </w:r>
          </w:p>
        </w:tc>
        <w:tc>
          <w:tcPr>
            <w:tcW w:w="678" w:type="dxa"/>
            <w:tcBorders>
              <w:top w:val="nil"/>
              <w:left w:val="nil"/>
              <w:bottom w:val="single" w:sz="4" w:space="0" w:color="auto"/>
              <w:right w:val="nil"/>
            </w:tcBorders>
            <w:shd w:val="clear" w:color="auto" w:fill="FFFFFF"/>
          </w:tcPr>
          <w:p w:rsidR="003A1940"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92,82</w:t>
            </w:r>
          </w:p>
        </w:tc>
      </w:tr>
    </w:tbl>
    <w:p w:rsidR="00771C53" w:rsidRDefault="00334062" w:rsidP="00D64362">
      <w:pPr>
        <w:autoSpaceDE w:val="0"/>
        <w:autoSpaceDN w:val="0"/>
        <w:adjustRightInd w:val="0"/>
        <w:spacing w:after="0" w:line="360" w:lineRule="auto"/>
        <w:ind w:left="1620"/>
        <w:jc w:val="both"/>
        <w:rPr>
          <w:rFonts w:ascii="Times New Roman" w:hAnsi="Times New Roman" w:cs="Times New Roman"/>
          <w:sz w:val="24"/>
          <w:szCs w:val="24"/>
        </w:rPr>
      </w:pPr>
      <w:r>
        <w:rPr>
          <w:rFonts w:ascii="Times New Roman" w:hAnsi="Times New Roman" w:cs="Times New Roman"/>
          <w:sz w:val="24"/>
          <w:szCs w:val="24"/>
        </w:rPr>
        <w:t>Sumber: Output SPSS (data diolah)</w:t>
      </w:r>
    </w:p>
    <w:p w:rsidR="00334062" w:rsidRDefault="007E1036" w:rsidP="00D64362">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Berdasarkan tabel 3</w:t>
      </w:r>
      <w:r w:rsidR="007675EA">
        <w:rPr>
          <w:rFonts w:ascii="Times New Roman" w:hAnsi="Times New Roman" w:cs="Times New Roman"/>
          <w:sz w:val="24"/>
          <w:szCs w:val="24"/>
        </w:rPr>
        <w:t xml:space="preserve"> dapat diketahui bahwa </w:t>
      </w:r>
      <w:r w:rsidR="00FE046B">
        <w:rPr>
          <w:rFonts w:ascii="Times New Roman" w:hAnsi="Times New Roman" w:cs="Times New Roman"/>
          <w:sz w:val="24"/>
          <w:szCs w:val="24"/>
        </w:rPr>
        <w:t>LDR pada negara Indonesia menunjukkan nilai signifiknsi 0,716. Artinya, rasio LDR perbankan Indonesia berdistribusi normal. Namun berbeda dengan negara Malaysia dan Thailand, kedua negara tersebut menunjukkan nilai signifikansi kurang dari 0,05. Artinya, rasio LDR pada perbankan di Malaysia dan Thailand tidak berdistribusi Normal.</w:t>
      </w:r>
    </w:p>
    <w:p w:rsidR="00FE046B" w:rsidRPr="00771C53" w:rsidRDefault="007E1036" w:rsidP="00D6436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4</w:t>
      </w:r>
      <w:r w:rsidR="00FE046B">
        <w:rPr>
          <w:rFonts w:ascii="Times New Roman" w:hAnsi="Times New Roman" w:cs="Times New Roman"/>
          <w:sz w:val="24"/>
          <w:szCs w:val="24"/>
        </w:rPr>
        <w:t>. H</w:t>
      </w:r>
      <w:r w:rsidR="00747CF0">
        <w:rPr>
          <w:rFonts w:ascii="Times New Roman" w:hAnsi="Times New Roman" w:cs="Times New Roman"/>
          <w:sz w:val="24"/>
          <w:szCs w:val="24"/>
        </w:rPr>
        <w:t>asil Uji Normalitas Variabel NIM</w:t>
      </w:r>
    </w:p>
    <w:tbl>
      <w:tblPr>
        <w:tblW w:w="6298" w:type="dxa"/>
        <w:jc w:val="center"/>
        <w:tblInd w:w="10" w:type="dxa"/>
        <w:tblBorders>
          <w:insideH w:val="single" w:sz="4" w:space="0" w:color="auto"/>
        </w:tblBorders>
        <w:tblLayout w:type="fixed"/>
        <w:tblCellMar>
          <w:left w:w="0" w:type="dxa"/>
          <w:right w:w="0" w:type="dxa"/>
        </w:tblCellMar>
        <w:tblLook w:val="0000"/>
      </w:tblPr>
      <w:tblGrid>
        <w:gridCol w:w="535"/>
        <w:gridCol w:w="983"/>
        <w:gridCol w:w="944"/>
        <w:gridCol w:w="655"/>
        <w:gridCol w:w="638"/>
        <w:gridCol w:w="871"/>
        <w:gridCol w:w="1010"/>
        <w:gridCol w:w="662"/>
      </w:tblGrid>
      <w:tr w:rsidR="003A1940" w:rsidRPr="00FE046B" w:rsidTr="008909CD">
        <w:trPr>
          <w:cantSplit/>
          <w:jc w:val="center"/>
        </w:trPr>
        <w:tc>
          <w:tcPr>
            <w:tcW w:w="535" w:type="dxa"/>
            <w:tcBorders>
              <w:top w:val="single" w:sz="4" w:space="0" w:color="auto"/>
              <w:bottom w:val="nil"/>
            </w:tcBorders>
            <w:vAlign w:val="center"/>
          </w:tcPr>
          <w:p w:rsidR="003A1940" w:rsidRPr="00FE046B" w:rsidRDefault="003A1940" w:rsidP="00D64362">
            <w:pPr>
              <w:autoSpaceDE w:val="0"/>
              <w:autoSpaceDN w:val="0"/>
              <w:adjustRightInd w:val="0"/>
              <w:spacing w:after="0" w:line="360" w:lineRule="auto"/>
              <w:rPr>
                <w:rFonts w:ascii="Arial" w:hAnsi="Arial" w:cs="Arial"/>
                <w:color w:val="000000"/>
                <w:sz w:val="18"/>
                <w:szCs w:val="18"/>
              </w:rPr>
            </w:pPr>
          </w:p>
        </w:tc>
        <w:tc>
          <w:tcPr>
            <w:tcW w:w="983" w:type="dxa"/>
            <w:vMerge w:val="restart"/>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rPr>
                <w:rFonts w:ascii="Arial" w:hAnsi="Arial" w:cs="Arial"/>
                <w:color w:val="000000"/>
                <w:sz w:val="18"/>
                <w:szCs w:val="18"/>
              </w:rPr>
            </w:pPr>
            <w:r w:rsidRPr="00FE046B">
              <w:rPr>
                <w:rFonts w:ascii="Arial" w:hAnsi="Arial" w:cs="Arial"/>
                <w:color w:val="000000"/>
                <w:sz w:val="18"/>
                <w:szCs w:val="18"/>
              </w:rPr>
              <w:t>Negara</w:t>
            </w:r>
          </w:p>
        </w:tc>
        <w:tc>
          <w:tcPr>
            <w:tcW w:w="2237" w:type="dxa"/>
            <w:gridSpan w:val="3"/>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sidRPr="00FE046B">
              <w:rPr>
                <w:rFonts w:ascii="Arial" w:hAnsi="Arial" w:cs="Arial"/>
                <w:color w:val="000000"/>
                <w:sz w:val="18"/>
                <w:szCs w:val="18"/>
              </w:rPr>
              <w:t>Shapiro-Wilk</w:t>
            </w:r>
          </w:p>
        </w:tc>
        <w:tc>
          <w:tcPr>
            <w:tcW w:w="2543" w:type="dxa"/>
            <w:gridSpan w:val="3"/>
            <w:tcBorders>
              <w:top w:val="single" w:sz="4" w:space="0" w:color="auto"/>
            </w:tcBorders>
            <w:shd w:val="clear" w:color="auto" w:fill="FFFFFF"/>
          </w:tcPr>
          <w:p w:rsidR="003A1940" w:rsidRDefault="00836769" w:rsidP="00D64362">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Statistic</w:t>
            </w:r>
          </w:p>
        </w:tc>
      </w:tr>
      <w:tr w:rsidR="003A1940" w:rsidRPr="00FE046B" w:rsidTr="003A1940">
        <w:trPr>
          <w:cantSplit/>
          <w:jc w:val="center"/>
        </w:trPr>
        <w:tc>
          <w:tcPr>
            <w:tcW w:w="535" w:type="dxa"/>
            <w:tcBorders>
              <w:top w:val="nil"/>
              <w:bottom w:val="single" w:sz="4" w:space="0" w:color="auto"/>
            </w:tcBorders>
            <w:vAlign w:val="center"/>
          </w:tcPr>
          <w:p w:rsidR="003A1940" w:rsidRPr="00FE046B" w:rsidRDefault="003A1940" w:rsidP="00D64362">
            <w:pPr>
              <w:autoSpaceDE w:val="0"/>
              <w:autoSpaceDN w:val="0"/>
              <w:adjustRightInd w:val="0"/>
              <w:spacing w:after="0" w:line="360" w:lineRule="auto"/>
              <w:rPr>
                <w:rFonts w:ascii="Arial" w:hAnsi="Arial" w:cs="Arial"/>
                <w:color w:val="000000"/>
                <w:sz w:val="18"/>
                <w:szCs w:val="18"/>
              </w:rPr>
            </w:pPr>
          </w:p>
        </w:tc>
        <w:tc>
          <w:tcPr>
            <w:tcW w:w="983" w:type="dxa"/>
            <w:vMerge/>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rPr>
                <w:rFonts w:ascii="Arial" w:hAnsi="Arial" w:cs="Arial"/>
                <w:color w:val="000000"/>
                <w:sz w:val="18"/>
                <w:szCs w:val="18"/>
              </w:rPr>
            </w:pPr>
          </w:p>
        </w:tc>
        <w:tc>
          <w:tcPr>
            <w:tcW w:w="944"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sidRPr="00FE046B">
              <w:rPr>
                <w:rFonts w:ascii="Arial" w:hAnsi="Arial" w:cs="Arial"/>
                <w:color w:val="000000"/>
                <w:sz w:val="18"/>
                <w:szCs w:val="18"/>
              </w:rPr>
              <w:t>Statistic</w:t>
            </w:r>
          </w:p>
        </w:tc>
        <w:tc>
          <w:tcPr>
            <w:tcW w:w="655" w:type="dxa"/>
            <w:tcBorders>
              <w:top w:val="single" w:sz="4" w:space="0" w:color="auto"/>
              <w:bottom w:val="single" w:sz="4" w:space="0" w:color="auto"/>
            </w:tcBorders>
            <w:shd w:val="clear" w:color="auto" w:fill="FFFFFF"/>
          </w:tcPr>
          <w:p w:rsidR="003A1940" w:rsidRPr="00771C53"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df</w:t>
            </w:r>
          </w:p>
        </w:tc>
        <w:tc>
          <w:tcPr>
            <w:tcW w:w="638" w:type="dxa"/>
            <w:tcBorders>
              <w:top w:val="single" w:sz="4" w:space="0" w:color="auto"/>
              <w:bottom w:val="single" w:sz="4" w:space="0" w:color="auto"/>
            </w:tcBorders>
            <w:shd w:val="clear" w:color="auto" w:fill="FFFFFF"/>
          </w:tcPr>
          <w:p w:rsidR="003A1940" w:rsidRPr="00771C53" w:rsidRDefault="003A1940" w:rsidP="00D64362">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Sign</w:t>
            </w:r>
          </w:p>
        </w:tc>
        <w:tc>
          <w:tcPr>
            <w:tcW w:w="871" w:type="dxa"/>
            <w:tcBorders>
              <w:bottom w:val="single" w:sz="4" w:space="0" w:color="auto"/>
            </w:tcBorders>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Minimum</w:t>
            </w:r>
          </w:p>
        </w:tc>
        <w:tc>
          <w:tcPr>
            <w:tcW w:w="1010" w:type="dxa"/>
            <w:tcBorders>
              <w:bottom w:val="single" w:sz="4" w:space="0" w:color="auto"/>
            </w:tcBorders>
            <w:shd w:val="clear" w:color="auto" w:fill="FFFFFF"/>
          </w:tcPr>
          <w:p w:rsidR="003A1940" w:rsidRPr="00FA4864"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Maksimum</w:t>
            </w:r>
          </w:p>
        </w:tc>
        <w:tc>
          <w:tcPr>
            <w:tcW w:w="662" w:type="dxa"/>
            <w:tcBorders>
              <w:bottom w:val="single" w:sz="4" w:space="0" w:color="auto"/>
            </w:tcBorders>
            <w:shd w:val="clear" w:color="auto" w:fill="FFFFFF"/>
          </w:tcPr>
          <w:p w:rsidR="003A1940" w:rsidRDefault="003A1940" w:rsidP="00D64362">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Mean</w:t>
            </w:r>
          </w:p>
        </w:tc>
      </w:tr>
      <w:tr w:rsidR="003A1940" w:rsidRPr="00FE046B" w:rsidTr="003A1940">
        <w:trPr>
          <w:cantSplit/>
          <w:jc w:val="center"/>
        </w:trPr>
        <w:tc>
          <w:tcPr>
            <w:tcW w:w="535" w:type="dxa"/>
            <w:vMerge w:val="restart"/>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rPr>
                <w:rFonts w:ascii="Arial" w:hAnsi="Arial" w:cs="Arial"/>
                <w:color w:val="000000"/>
                <w:sz w:val="18"/>
                <w:szCs w:val="18"/>
              </w:rPr>
            </w:pPr>
            <w:r w:rsidRPr="00FE046B">
              <w:rPr>
                <w:rFonts w:ascii="Arial" w:hAnsi="Arial" w:cs="Arial"/>
                <w:color w:val="000000"/>
                <w:sz w:val="18"/>
                <w:szCs w:val="18"/>
              </w:rPr>
              <w:t>NIM</w:t>
            </w:r>
          </w:p>
        </w:tc>
        <w:tc>
          <w:tcPr>
            <w:tcW w:w="983"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rPr>
                <w:rFonts w:ascii="Arial" w:hAnsi="Arial" w:cs="Arial"/>
                <w:color w:val="000000"/>
                <w:sz w:val="18"/>
                <w:szCs w:val="18"/>
              </w:rPr>
            </w:pPr>
            <w:r w:rsidRPr="00FE046B">
              <w:rPr>
                <w:rFonts w:ascii="Arial" w:hAnsi="Arial" w:cs="Arial"/>
                <w:color w:val="000000"/>
                <w:sz w:val="18"/>
                <w:szCs w:val="18"/>
              </w:rPr>
              <w:t>Indonesia</w:t>
            </w:r>
          </w:p>
        </w:tc>
        <w:tc>
          <w:tcPr>
            <w:tcW w:w="944"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FE046B">
              <w:rPr>
                <w:rFonts w:ascii="Arial" w:hAnsi="Arial" w:cs="Arial"/>
                <w:color w:val="000000"/>
                <w:sz w:val="18"/>
                <w:szCs w:val="18"/>
              </w:rPr>
              <w:t>915</w:t>
            </w:r>
          </w:p>
        </w:tc>
        <w:tc>
          <w:tcPr>
            <w:tcW w:w="655"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sidRPr="00FE046B">
              <w:rPr>
                <w:rFonts w:ascii="Arial" w:hAnsi="Arial" w:cs="Arial"/>
                <w:color w:val="000000"/>
                <w:sz w:val="18"/>
                <w:szCs w:val="18"/>
              </w:rPr>
              <w:t>12</w:t>
            </w:r>
          </w:p>
        </w:tc>
        <w:tc>
          <w:tcPr>
            <w:tcW w:w="638"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FE046B">
              <w:rPr>
                <w:rFonts w:ascii="Arial" w:hAnsi="Arial" w:cs="Arial"/>
                <w:color w:val="000000"/>
                <w:sz w:val="18"/>
                <w:szCs w:val="18"/>
              </w:rPr>
              <w:t>250</w:t>
            </w:r>
          </w:p>
        </w:tc>
        <w:tc>
          <w:tcPr>
            <w:tcW w:w="871"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5,46</w:t>
            </w:r>
          </w:p>
        </w:tc>
        <w:tc>
          <w:tcPr>
            <w:tcW w:w="1010"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8,00</w:t>
            </w:r>
          </w:p>
        </w:tc>
        <w:tc>
          <w:tcPr>
            <w:tcW w:w="662"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6,54</w:t>
            </w:r>
          </w:p>
        </w:tc>
      </w:tr>
      <w:tr w:rsidR="003A1940" w:rsidRPr="00FE046B" w:rsidTr="003A1940">
        <w:trPr>
          <w:cantSplit/>
          <w:jc w:val="center"/>
        </w:trPr>
        <w:tc>
          <w:tcPr>
            <w:tcW w:w="535" w:type="dxa"/>
            <w:vMerge/>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rPr>
                <w:rFonts w:ascii="Arial" w:hAnsi="Arial" w:cs="Arial"/>
                <w:color w:val="000000"/>
                <w:sz w:val="18"/>
                <w:szCs w:val="18"/>
              </w:rPr>
            </w:pPr>
          </w:p>
        </w:tc>
        <w:tc>
          <w:tcPr>
            <w:tcW w:w="983"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rPr>
                <w:rFonts w:ascii="Arial" w:hAnsi="Arial" w:cs="Arial"/>
                <w:color w:val="000000"/>
                <w:sz w:val="18"/>
                <w:szCs w:val="18"/>
              </w:rPr>
            </w:pPr>
            <w:r w:rsidRPr="00FE046B">
              <w:rPr>
                <w:rFonts w:ascii="Arial" w:hAnsi="Arial" w:cs="Arial"/>
                <w:color w:val="000000"/>
                <w:sz w:val="18"/>
                <w:szCs w:val="18"/>
              </w:rPr>
              <w:t>Malaysia</w:t>
            </w:r>
          </w:p>
        </w:tc>
        <w:tc>
          <w:tcPr>
            <w:tcW w:w="944"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FE046B">
              <w:rPr>
                <w:rFonts w:ascii="Arial" w:hAnsi="Arial" w:cs="Arial"/>
                <w:color w:val="000000"/>
                <w:sz w:val="18"/>
                <w:szCs w:val="18"/>
              </w:rPr>
              <w:t>935</w:t>
            </w:r>
          </w:p>
        </w:tc>
        <w:tc>
          <w:tcPr>
            <w:tcW w:w="655"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sidRPr="00FE046B">
              <w:rPr>
                <w:rFonts w:ascii="Arial" w:hAnsi="Arial" w:cs="Arial"/>
                <w:color w:val="000000"/>
                <w:sz w:val="18"/>
                <w:szCs w:val="18"/>
              </w:rPr>
              <w:t>12</w:t>
            </w:r>
          </w:p>
        </w:tc>
        <w:tc>
          <w:tcPr>
            <w:tcW w:w="638"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FE046B">
              <w:rPr>
                <w:rFonts w:ascii="Arial" w:hAnsi="Arial" w:cs="Arial"/>
                <w:color w:val="000000"/>
                <w:sz w:val="18"/>
                <w:szCs w:val="18"/>
              </w:rPr>
              <w:t>440</w:t>
            </w:r>
          </w:p>
        </w:tc>
        <w:tc>
          <w:tcPr>
            <w:tcW w:w="871"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1,94</w:t>
            </w:r>
          </w:p>
        </w:tc>
        <w:tc>
          <w:tcPr>
            <w:tcW w:w="1010"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2,63</w:t>
            </w:r>
          </w:p>
        </w:tc>
        <w:tc>
          <w:tcPr>
            <w:tcW w:w="662"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2,30</w:t>
            </w:r>
          </w:p>
        </w:tc>
      </w:tr>
      <w:tr w:rsidR="003A1940" w:rsidRPr="00FE046B" w:rsidTr="003A1940">
        <w:trPr>
          <w:cantSplit/>
          <w:jc w:val="center"/>
        </w:trPr>
        <w:tc>
          <w:tcPr>
            <w:tcW w:w="535" w:type="dxa"/>
            <w:vMerge/>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rPr>
                <w:rFonts w:ascii="Arial" w:hAnsi="Arial" w:cs="Arial"/>
                <w:color w:val="000000"/>
                <w:sz w:val="18"/>
                <w:szCs w:val="18"/>
              </w:rPr>
            </w:pPr>
          </w:p>
        </w:tc>
        <w:tc>
          <w:tcPr>
            <w:tcW w:w="983"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rPr>
                <w:rFonts w:ascii="Arial" w:hAnsi="Arial" w:cs="Arial"/>
                <w:color w:val="000000"/>
                <w:sz w:val="18"/>
                <w:szCs w:val="18"/>
              </w:rPr>
            </w:pPr>
            <w:r w:rsidRPr="00FE046B">
              <w:rPr>
                <w:rFonts w:ascii="Arial" w:hAnsi="Arial" w:cs="Arial"/>
                <w:color w:val="000000"/>
                <w:sz w:val="18"/>
                <w:szCs w:val="18"/>
              </w:rPr>
              <w:t>Thailand</w:t>
            </w:r>
          </w:p>
        </w:tc>
        <w:tc>
          <w:tcPr>
            <w:tcW w:w="944"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FE046B">
              <w:rPr>
                <w:rFonts w:ascii="Arial" w:hAnsi="Arial" w:cs="Arial"/>
                <w:color w:val="000000"/>
                <w:sz w:val="18"/>
                <w:szCs w:val="18"/>
              </w:rPr>
              <w:t>784</w:t>
            </w:r>
          </w:p>
        </w:tc>
        <w:tc>
          <w:tcPr>
            <w:tcW w:w="655"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sidRPr="00FE046B">
              <w:rPr>
                <w:rFonts w:ascii="Arial" w:hAnsi="Arial" w:cs="Arial"/>
                <w:color w:val="000000"/>
                <w:sz w:val="18"/>
                <w:szCs w:val="18"/>
              </w:rPr>
              <w:t>12</w:t>
            </w:r>
          </w:p>
        </w:tc>
        <w:tc>
          <w:tcPr>
            <w:tcW w:w="638" w:type="dxa"/>
            <w:tcBorders>
              <w:top w:val="single" w:sz="4" w:space="0" w:color="auto"/>
              <w:bottom w:val="single" w:sz="4" w:space="0" w:color="auto"/>
            </w:tcBorders>
            <w:shd w:val="clear" w:color="auto" w:fill="FFFFFF"/>
            <w:vAlign w:val="center"/>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0,</w:t>
            </w:r>
            <w:r w:rsidRPr="00FE046B">
              <w:rPr>
                <w:rFonts w:ascii="Arial" w:hAnsi="Arial" w:cs="Arial"/>
                <w:color w:val="000000"/>
                <w:sz w:val="18"/>
                <w:szCs w:val="18"/>
              </w:rPr>
              <w:t>006</w:t>
            </w:r>
          </w:p>
        </w:tc>
        <w:tc>
          <w:tcPr>
            <w:tcW w:w="871"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2,32</w:t>
            </w:r>
          </w:p>
        </w:tc>
        <w:tc>
          <w:tcPr>
            <w:tcW w:w="1010"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3,52</w:t>
            </w:r>
          </w:p>
        </w:tc>
        <w:tc>
          <w:tcPr>
            <w:tcW w:w="662" w:type="dxa"/>
            <w:tcBorders>
              <w:top w:val="single" w:sz="4" w:space="0" w:color="auto"/>
              <w:bottom w:val="single" w:sz="4" w:space="0" w:color="auto"/>
            </w:tcBorders>
            <w:shd w:val="clear" w:color="auto" w:fill="FFFFFF"/>
          </w:tcPr>
          <w:p w:rsidR="003A1940" w:rsidRPr="00FE046B" w:rsidRDefault="003A1940" w:rsidP="00D6436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2,99</w:t>
            </w:r>
          </w:p>
        </w:tc>
      </w:tr>
    </w:tbl>
    <w:p w:rsidR="00081A56" w:rsidRDefault="00081A56" w:rsidP="00D64362">
      <w:pPr>
        <w:autoSpaceDE w:val="0"/>
        <w:autoSpaceDN w:val="0"/>
        <w:adjustRightInd w:val="0"/>
        <w:spacing w:after="0" w:line="360" w:lineRule="auto"/>
        <w:ind w:left="1620"/>
        <w:jc w:val="both"/>
        <w:rPr>
          <w:rFonts w:ascii="Times New Roman" w:hAnsi="Times New Roman" w:cs="Times New Roman"/>
          <w:sz w:val="24"/>
          <w:szCs w:val="24"/>
        </w:rPr>
      </w:pPr>
      <w:r>
        <w:rPr>
          <w:rFonts w:ascii="Times New Roman" w:hAnsi="Times New Roman" w:cs="Times New Roman"/>
          <w:sz w:val="24"/>
          <w:szCs w:val="24"/>
        </w:rPr>
        <w:t>Sumber: Output SPSS (data diolah)</w:t>
      </w:r>
    </w:p>
    <w:p w:rsidR="00FE046B" w:rsidRDefault="007E1036" w:rsidP="00D64362">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Berdasarkan tabel 4</w:t>
      </w:r>
      <w:r w:rsidR="00747CF0">
        <w:rPr>
          <w:rFonts w:ascii="Times New Roman" w:hAnsi="Times New Roman" w:cs="Times New Roman"/>
          <w:sz w:val="24"/>
          <w:szCs w:val="24"/>
        </w:rPr>
        <w:t xml:space="preserve"> dapat diketahui bahwa NIM pada negara Indonesia dan Malaysia menunjukkan nilai signifiknsi 0,250 dan 0,440. Artinya, rasio NIM perbankan di Negara Indonesia dan Negara Malaysia berdistribusi normal. Namun berbeda dengan negara Thailand, hasil uji normalitas rasio NIM menunjukkan nilai signifikansi kurang dari 0,05. Artinya, rasio NIM pada perbankan di Negara Thailand tidak berdistribusi Normal.</w:t>
      </w:r>
    </w:p>
    <w:p w:rsidR="007E1036" w:rsidRDefault="007E1036" w:rsidP="00D64362">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Hasil</w:t>
      </w:r>
      <w:r w:rsidR="00C363A3">
        <w:rPr>
          <w:rFonts w:ascii="Times New Roman" w:hAnsi="Times New Roman" w:cs="Times New Roman"/>
          <w:sz w:val="24"/>
          <w:szCs w:val="24"/>
        </w:rPr>
        <w:t xml:space="preserve"> Uji normalitas dengan menggunakan</w:t>
      </w:r>
      <w:r>
        <w:rPr>
          <w:rFonts w:ascii="Times New Roman" w:hAnsi="Times New Roman" w:cs="Times New Roman"/>
          <w:sz w:val="24"/>
          <w:szCs w:val="24"/>
        </w:rPr>
        <w:t xml:space="preserve"> </w:t>
      </w:r>
      <w:r w:rsidR="00C363A3" w:rsidRPr="00C363A3">
        <w:rPr>
          <w:rFonts w:ascii="Times New Roman" w:hAnsi="Times New Roman" w:cs="Times New Roman"/>
          <w:i/>
          <w:sz w:val="24"/>
          <w:szCs w:val="24"/>
        </w:rPr>
        <w:t>Uji Shapiro Wilk</w:t>
      </w:r>
      <w:r w:rsidR="00C363A3">
        <w:rPr>
          <w:rFonts w:ascii="Times New Roman" w:hAnsi="Times New Roman" w:cs="Times New Roman"/>
          <w:sz w:val="24"/>
          <w:szCs w:val="24"/>
        </w:rPr>
        <w:t xml:space="preserve"> menunjukkan bahwa setiap variabel penelitian yang terdiri dari risiko Kredit, risiko likuiditas dan risiko pasar mengalami sebaran data yang tidak normal, pada rasio NPL data yang tidak berdistribusi normal terdapat pada Negara Malaysia. Rasio LDR data yang tidak berdistribusi normal terdapat pada perbankan di negara Malaysia dan Thailand. Sedangkan pada rasio NIM perbankan di Negara Thailand menunjukkan bahwa data tidak berdistribusi Normal. Berdasarkan Hasil pengujian yang telah dilakukan</w:t>
      </w:r>
      <w:r w:rsidR="006670C2">
        <w:rPr>
          <w:rFonts w:ascii="Times New Roman" w:hAnsi="Times New Roman" w:cs="Times New Roman"/>
          <w:sz w:val="24"/>
          <w:szCs w:val="24"/>
        </w:rPr>
        <w:t>,</w:t>
      </w:r>
      <w:r w:rsidR="00C363A3">
        <w:rPr>
          <w:rFonts w:ascii="Times New Roman" w:hAnsi="Times New Roman" w:cs="Times New Roman"/>
          <w:sz w:val="24"/>
          <w:szCs w:val="24"/>
        </w:rPr>
        <w:t xml:space="preserve"> maka dapat disimpulkan bahwa asumsi pertama </w:t>
      </w:r>
      <w:r w:rsidR="006670C2">
        <w:rPr>
          <w:rFonts w:ascii="Times New Roman" w:hAnsi="Times New Roman" w:cs="Times New Roman"/>
          <w:sz w:val="24"/>
          <w:szCs w:val="24"/>
        </w:rPr>
        <w:t>yang menyebutkan data harus berdistribusi normal tidak dapat dipenuhi.</w:t>
      </w:r>
    </w:p>
    <w:p w:rsidR="001D7EF5" w:rsidRDefault="003B0656" w:rsidP="00D64362">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Uji Homogenitas adalah uji yang digunakan untuk mengetahui apakah varians antar dua atau lebih kelompok data bersifat sama (homogen). tingkat signifikansi yang digunakan adalah </w:t>
      </w:r>
      <w:r w:rsidR="006F7410">
        <w:rPr>
          <w:rFonts w:ascii="Times New Roman" w:hAnsi="Times New Roman" w:cs="Times New Roman"/>
          <w:sz w:val="24"/>
          <w:szCs w:val="24"/>
        </w:rPr>
        <w:t>&gt;</w:t>
      </w:r>
      <w:r>
        <w:rPr>
          <w:rFonts w:ascii="Times New Roman" w:hAnsi="Times New Roman" w:cs="Times New Roman"/>
          <w:sz w:val="24"/>
          <w:szCs w:val="24"/>
        </w:rPr>
        <w:t xml:space="preserve">5%. Artinya, apabila hasil pengujian menunjukkan nilai signifikansi lebih dari 0,05 maka data bersifat homogen. Sebaliknya, apabila hasil pengujian menunjukkan nilai signifikansi kurang dari atau sama dengan 0,05 maka data tidak homogen. Hasil pengujian uji Homogenitas dengan menggunakan uji levene </w:t>
      </w:r>
      <w:r w:rsidR="00F73EFB">
        <w:rPr>
          <w:rFonts w:ascii="Times New Roman" w:hAnsi="Times New Roman" w:cs="Times New Roman"/>
          <w:sz w:val="24"/>
          <w:szCs w:val="24"/>
        </w:rPr>
        <w:t>di</w:t>
      </w:r>
      <w:r w:rsidR="00664704">
        <w:rPr>
          <w:rFonts w:ascii="Times New Roman" w:hAnsi="Times New Roman" w:cs="Times New Roman"/>
          <w:sz w:val="24"/>
          <w:szCs w:val="24"/>
        </w:rPr>
        <w:t>sajikan</w:t>
      </w:r>
      <w:r w:rsidR="00F73EFB">
        <w:rPr>
          <w:rFonts w:ascii="Times New Roman" w:hAnsi="Times New Roman" w:cs="Times New Roman"/>
          <w:sz w:val="24"/>
          <w:szCs w:val="24"/>
        </w:rPr>
        <w:t xml:space="preserve"> pada tabel 5</w:t>
      </w:r>
      <w:r>
        <w:rPr>
          <w:rFonts w:ascii="Times New Roman" w:hAnsi="Times New Roman" w:cs="Times New Roman"/>
          <w:sz w:val="24"/>
          <w:szCs w:val="24"/>
        </w:rPr>
        <w:t>.</w:t>
      </w:r>
    </w:p>
    <w:p w:rsidR="003B0656" w:rsidRDefault="00F73EFB" w:rsidP="00D6436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5</w:t>
      </w:r>
      <w:r w:rsidR="003B0656">
        <w:rPr>
          <w:rFonts w:ascii="Times New Roman" w:hAnsi="Times New Roman" w:cs="Times New Roman"/>
          <w:sz w:val="24"/>
          <w:szCs w:val="24"/>
        </w:rPr>
        <w:t xml:space="preserve">. Hasil Uji </w:t>
      </w:r>
      <w:r>
        <w:rPr>
          <w:rFonts w:ascii="Times New Roman" w:hAnsi="Times New Roman" w:cs="Times New Roman"/>
          <w:sz w:val="24"/>
          <w:szCs w:val="24"/>
        </w:rPr>
        <w:t>Levene</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738"/>
        <w:gridCol w:w="2790"/>
        <w:gridCol w:w="1309"/>
        <w:gridCol w:w="1454"/>
      </w:tblGrid>
      <w:tr w:rsidR="00F73EFB" w:rsidTr="00F73EFB">
        <w:trPr>
          <w:trHeight w:val="252"/>
          <w:jc w:val="center"/>
        </w:trPr>
        <w:tc>
          <w:tcPr>
            <w:tcW w:w="738" w:type="dxa"/>
            <w:tcBorders>
              <w:top w:val="single" w:sz="4" w:space="0" w:color="auto"/>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790" w:type="dxa"/>
            <w:tcBorders>
              <w:top w:val="single" w:sz="4" w:space="0" w:color="auto"/>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1309" w:type="dxa"/>
            <w:tcBorders>
              <w:top w:val="single" w:sz="4" w:space="0" w:color="auto"/>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Statistik</w:t>
            </w:r>
          </w:p>
        </w:tc>
        <w:tc>
          <w:tcPr>
            <w:tcW w:w="1454" w:type="dxa"/>
            <w:tcBorders>
              <w:top w:val="single" w:sz="4" w:space="0" w:color="auto"/>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Signifikansi</w:t>
            </w:r>
          </w:p>
        </w:tc>
      </w:tr>
      <w:tr w:rsidR="00F73EFB" w:rsidTr="00F73EFB">
        <w:trPr>
          <w:jc w:val="center"/>
        </w:trPr>
        <w:tc>
          <w:tcPr>
            <w:tcW w:w="738" w:type="dxa"/>
            <w:tcBorders>
              <w:top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0" w:type="dxa"/>
            <w:tcBorders>
              <w:top w:val="single" w:sz="4" w:space="0" w:color="auto"/>
            </w:tcBorders>
          </w:tcPr>
          <w:p w:rsidR="00F73EFB" w:rsidRDefault="00F73EFB" w:rsidP="00D643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Risiko Kredit (NPL)</w:t>
            </w:r>
          </w:p>
        </w:tc>
        <w:tc>
          <w:tcPr>
            <w:tcW w:w="1309" w:type="dxa"/>
            <w:tcBorders>
              <w:top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4,782</w:t>
            </w:r>
          </w:p>
        </w:tc>
        <w:tc>
          <w:tcPr>
            <w:tcW w:w="1454" w:type="dxa"/>
            <w:tcBorders>
              <w:top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0,015</w:t>
            </w:r>
          </w:p>
        </w:tc>
      </w:tr>
      <w:tr w:rsidR="00F73EFB" w:rsidTr="00F73EFB">
        <w:trPr>
          <w:jc w:val="center"/>
        </w:trPr>
        <w:tc>
          <w:tcPr>
            <w:tcW w:w="738" w:type="dxa"/>
            <w:tcBorders>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90" w:type="dxa"/>
            <w:tcBorders>
              <w:bottom w:val="single" w:sz="4" w:space="0" w:color="auto"/>
            </w:tcBorders>
          </w:tcPr>
          <w:p w:rsidR="00F73EFB" w:rsidRDefault="00F73EFB" w:rsidP="00D643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Risiko Likuiditas (LDR)</w:t>
            </w:r>
          </w:p>
        </w:tc>
        <w:tc>
          <w:tcPr>
            <w:tcW w:w="1309" w:type="dxa"/>
            <w:tcBorders>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1,395</w:t>
            </w:r>
          </w:p>
        </w:tc>
        <w:tc>
          <w:tcPr>
            <w:tcW w:w="1454" w:type="dxa"/>
            <w:tcBorders>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0,262</w:t>
            </w:r>
          </w:p>
        </w:tc>
      </w:tr>
      <w:tr w:rsidR="00F73EFB" w:rsidTr="00F73EFB">
        <w:trPr>
          <w:jc w:val="center"/>
        </w:trPr>
        <w:tc>
          <w:tcPr>
            <w:tcW w:w="738" w:type="dxa"/>
            <w:tcBorders>
              <w:top w:val="single" w:sz="4" w:space="0" w:color="auto"/>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90" w:type="dxa"/>
            <w:tcBorders>
              <w:top w:val="single" w:sz="4" w:space="0" w:color="auto"/>
              <w:bottom w:val="single" w:sz="4" w:space="0" w:color="auto"/>
            </w:tcBorders>
          </w:tcPr>
          <w:p w:rsidR="00F73EFB" w:rsidRDefault="00F73EFB" w:rsidP="00D643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Risiko Pasar (NIM)</w:t>
            </w:r>
          </w:p>
        </w:tc>
        <w:tc>
          <w:tcPr>
            <w:tcW w:w="1309" w:type="dxa"/>
            <w:tcBorders>
              <w:top w:val="single" w:sz="4" w:space="0" w:color="auto"/>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11,031</w:t>
            </w:r>
          </w:p>
        </w:tc>
        <w:tc>
          <w:tcPr>
            <w:tcW w:w="1454" w:type="dxa"/>
            <w:tcBorders>
              <w:top w:val="single" w:sz="4" w:space="0" w:color="auto"/>
              <w:bottom w:val="single" w:sz="4" w:space="0" w:color="auto"/>
            </w:tcBorders>
          </w:tcPr>
          <w:p w:rsidR="00F73EFB" w:rsidRDefault="00F73EF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0,000</w:t>
            </w:r>
          </w:p>
        </w:tc>
      </w:tr>
    </w:tbl>
    <w:p w:rsidR="00F73EFB" w:rsidRDefault="00F73EFB" w:rsidP="00D64362">
      <w:pPr>
        <w:autoSpaceDE w:val="0"/>
        <w:autoSpaceDN w:val="0"/>
        <w:adjustRightInd w:val="0"/>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Sumber: Output SPSS (data diolah)</w:t>
      </w:r>
    </w:p>
    <w:p w:rsidR="003B0656" w:rsidRDefault="00F73EFB" w:rsidP="00D64362">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5 menunjukkan hasil pengujian homogenitas dengan menggunakan uji levene. Hasil pengujian rasio NPL menunjukkan signifikansi sebesar 0,015. Nilai ini lebih kecil dari </w:t>
      </w:r>
      <w:r w:rsidR="004D6054">
        <w:rPr>
          <w:rFonts w:ascii="Times New Roman" w:hAnsi="Times New Roman" w:cs="Times New Roman"/>
          <w:sz w:val="24"/>
          <w:szCs w:val="24"/>
        </w:rPr>
        <w:t>tingkat signifikansi yang telah di tentukan. Artinya, Rasio NPL pada perbankan di Negara Indonesia, Malaysia dan Thailand tidak bersifat homogen.</w:t>
      </w:r>
      <w:r w:rsidR="009F4D82">
        <w:rPr>
          <w:rFonts w:ascii="Times New Roman" w:hAnsi="Times New Roman" w:cs="Times New Roman"/>
          <w:sz w:val="24"/>
          <w:szCs w:val="24"/>
        </w:rPr>
        <w:t xml:space="preserve"> Pada variabel LDR nilai signifikansi menunjukkan angka 0,262. Artinya Rasio LDR pada perbankan di Negara Indonesia, Malaysia dan Thailand bersifat homogen. Sedangkan hasil pengujian homogen pada variabel NIM menunjukkan nilai signifikansi sebesar 0,000. Artinya, data rasio NIM pada perbankan di Negara Indonesia, Malaysia dan Thailand bersifat tidak homogen. </w:t>
      </w:r>
    </w:p>
    <w:p w:rsidR="009F4D82" w:rsidRDefault="009F4D82" w:rsidP="00D64362">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pengujian Normalitas dan Homogenitas yang telah dilaksanakan, maka dapat di simpulkan bahwa data tidak memenuhi syarat-syarat uji One-Way ANOVA. Sehingga, pengujian data pada penelitian ini menggunakan statistik non parametik, yaitu uji </w:t>
      </w:r>
      <w:r w:rsidRPr="009F4D82">
        <w:rPr>
          <w:rFonts w:ascii="Times New Roman" w:hAnsi="Times New Roman" w:cs="Times New Roman"/>
          <w:i/>
          <w:sz w:val="24"/>
          <w:szCs w:val="24"/>
        </w:rPr>
        <w:t>kruskal wallis</w:t>
      </w:r>
      <w:r>
        <w:rPr>
          <w:rFonts w:ascii="Times New Roman" w:hAnsi="Times New Roman" w:cs="Times New Roman"/>
          <w:sz w:val="24"/>
          <w:szCs w:val="24"/>
        </w:rPr>
        <w:t>.</w:t>
      </w:r>
      <w:r w:rsidR="000753FE">
        <w:rPr>
          <w:rFonts w:ascii="Times New Roman" w:hAnsi="Times New Roman" w:cs="Times New Roman"/>
          <w:sz w:val="24"/>
          <w:szCs w:val="24"/>
        </w:rPr>
        <w:t xml:space="preserve"> </w:t>
      </w:r>
      <w:r w:rsidR="006F7410">
        <w:rPr>
          <w:rFonts w:ascii="Times New Roman" w:hAnsi="Times New Roman" w:cs="Times New Roman"/>
          <w:sz w:val="24"/>
          <w:szCs w:val="24"/>
        </w:rPr>
        <w:t>Tingkat signifikansi yang digunakan adalah ≤ 5%. Artinya, apabila hasil pengujian menunjukkan nilai signifikansi kurang dari atau sama dengan</w:t>
      </w:r>
      <w:r w:rsidR="00D02258">
        <w:rPr>
          <w:rFonts w:ascii="Times New Roman" w:hAnsi="Times New Roman" w:cs="Times New Roman"/>
          <w:sz w:val="24"/>
          <w:szCs w:val="24"/>
        </w:rPr>
        <w:t xml:space="preserve"> 0,05 maka ada perbedaan yang signifikan antara risiko pada perbankan di Negara Indonesia, Malaysia, dan thailand. Sebaliknya, apabila nilai signifikansi lebih dari 0,05 maka tidak ada perbedaan yang signifikan risiko keuangan perbankan pada negara Indonesia, Malaysia dan Thailand. </w:t>
      </w:r>
      <w:r w:rsidR="000753FE">
        <w:rPr>
          <w:rFonts w:ascii="Times New Roman" w:hAnsi="Times New Roman" w:cs="Times New Roman"/>
          <w:sz w:val="24"/>
          <w:szCs w:val="24"/>
        </w:rPr>
        <w:t xml:space="preserve">Hasil uji </w:t>
      </w:r>
      <w:r w:rsidR="000753FE" w:rsidRPr="009F4D82">
        <w:rPr>
          <w:rFonts w:ascii="Times New Roman" w:hAnsi="Times New Roman" w:cs="Times New Roman"/>
          <w:i/>
          <w:sz w:val="24"/>
          <w:szCs w:val="24"/>
        </w:rPr>
        <w:t>kruskal wallis</w:t>
      </w:r>
      <w:r w:rsidR="000753FE">
        <w:rPr>
          <w:rFonts w:ascii="Times New Roman" w:hAnsi="Times New Roman" w:cs="Times New Roman"/>
          <w:sz w:val="24"/>
          <w:szCs w:val="24"/>
        </w:rPr>
        <w:t xml:space="preserve"> disajikan pada tabel 6.</w:t>
      </w:r>
    </w:p>
    <w:p w:rsidR="00664704" w:rsidRDefault="006F7410" w:rsidP="00D6436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6</w:t>
      </w:r>
      <w:r w:rsidR="00664704">
        <w:rPr>
          <w:rFonts w:ascii="Times New Roman" w:hAnsi="Times New Roman" w:cs="Times New Roman"/>
          <w:sz w:val="24"/>
          <w:szCs w:val="24"/>
        </w:rPr>
        <w:t xml:space="preserve">. Hasil Uji </w:t>
      </w:r>
      <w:r w:rsidR="00664704" w:rsidRPr="00664704">
        <w:rPr>
          <w:rFonts w:ascii="Times New Roman" w:hAnsi="Times New Roman" w:cs="Times New Roman"/>
          <w:i/>
          <w:sz w:val="24"/>
          <w:szCs w:val="24"/>
        </w:rPr>
        <w:t>kruskal wallis</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738"/>
        <w:gridCol w:w="2790"/>
        <w:gridCol w:w="1309"/>
        <w:gridCol w:w="1454"/>
      </w:tblGrid>
      <w:tr w:rsidR="00664704" w:rsidTr="007A6FE3">
        <w:trPr>
          <w:trHeight w:val="252"/>
          <w:jc w:val="center"/>
        </w:trPr>
        <w:tc>
          <w:tcPr>
            <w:tcW w:w="738" w:type="dxa"/>
            <w:tcBorders>
              <w:top w:val="single" w:sz="4" w:space="0" w:color="auto"/>
              <w:bottom w:val="single" w:sz="4" w:space="0" w:color="auto"/>
            </w:tcBorders>
          </w:tcPr>
          <w:p w:rsidR="00664704" w:rsidRDefault="00664704"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790" w:type="dxa"/>
            <w:tcBorders>
              <w:top w:val="single" w:sz="4" w:space="0" w:color="auto"/>
              <w:bottom w:val="single" w:sz="4" w:space="0" w:color="auto"/>
            </w:tcBorders>
          </w:tcPr>
          <w:p w:rsidR="00664704" w:rsidRDefault="00664704"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1309" w:type="dxa"/>
            <w:tcBorders>
              <w:top w:val="single" w:sz="4" w:space="0" w:color="auto"/>
              <w:bottom w:val="single" w:sz="4" w:space="0" w:color="auto"/>
            </w:tcBorders>
          </w:tcPr>
          <w:p w:rsidR="00664704" w:rsidRDefault="00664704"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Statistik</w:t>
            </w:r>
          </w:p>
        </w:tc>
        <w:tc>
          <w:tcPr>
            <w:tcW w:w="1454" w:type="dxa"/>
            <w:tcBorders>
              <w:top w:val="single" w:sz="4" w:space="0" w:color="auto"/>
              <w:bottom w:val="single" w:sz="4" w:space="0" w:color="auto"/>
            </w:tcBorders>
          </w:tcPr>
          <w:p w:rsidR="00664704" w:rsidRDefault="00664704"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Signifikansi</w:t>
            </w:r>
          </w:p>
        </w:tc>
      </w:tr>
      <w:tr w:rsidR="00664704" w:rsidTr="007A6FE3">
        <w:trPr>
          <w:jc w:val="center"/>
        </w:trPr>
        <w:tc>
          <w:tcPr>
            <w:tcW w:w="738" w:type="dxa"/>
            <w:tcBorders>
              <w:top w:val="single" w:sz="4" w:space="0" w:color="auto"/>
            </w:tcBorders>
          </w:tcPr>
          <w:p w:rsidR="00664704" w:rsidRDefault="00664704"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0" w:type="dxa"/>
            <w:tcBorders>
              <w:top w:val="single" w:sz="4" w:space="0" w:color="auto"/>
            </w:tcBorders>
          </w:tcPr>
          <w:p w:rsidR="00664704" w:rsidRDefault="00664704" w:rsidP="00D643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Risiko Kredit (NPL)</w:t>
            </w:r>
          </w:p>
        </w:tc>
        <w:tc>
          <w:tcPr>
            <w:tcW w:w="1309" w:type="dxa"/>
            <w:tcBorders>
              <w:top w:val="single" w:sz="4" w:space="0" w:color="auto"/>
            </w:tcBorders>
          </w:tcPr>
          <w:p w:rsidR="00664704" w:rsidRDefault="0021623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18,176</w:t>
            </w:r>
          </w:p>
        </w:tc>
        <w:tc>
          <w:tcPr>
            <w:tcW w:w="1454" w:type="dxa"/>
            <w:tcBorders>
              <w:top w:val="single" w:sz="4" w:space="0" w:color="auto"/>
            </w:tcBorders>
          </w:tcPr>
          <w:p w:rsidR="00664704" w:rsidRDefault="0021623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664704" w:rsidTr="007A6FE3">
        <w:trPr>
          <w:jc w:val="center"/>
        </w:trPr>
        <w:tc>
          <w:tcPr>
            <w:tcW w:w="738" w:type="dxa"/>
            <w:tcBorders>
              <w:bottom w:val="single" w:sz="4" w:space="0" w:color="auto"/>
            </w:tcBorders>
          </w:tcPr>
          <w:p w:rsidR="00664704" w:rsidRDefault="00664704"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790" w:type="dxa"/>
            <w:tcBorders>
              <w:bottom w:val="single" w:sz="4" w:space="0" w:color="auto"/>
            </w:tcBorders>
          </w:tcPr>
          <w:p w:rsidR="00664704" w:rsidRDefault="00664704" w:rsidP="00D643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Risiko Likuiditas (LDR)</w:t>
            </w:r>
          </w:p>
        </w:tc>
        <w:tc>
          <w:tcPr>
            <w:tcW w:w="1309" w:type="dxa"/>
            <w:tcBorders>
              <w:bottom w:val="single" w:sz="4" w:space="0" w:color="auto"/>
            </w:tcBorders>
          </w:tcPr>
          <w:p w:rsidR="00664704" w:rsidRDefault="0021623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7,767</w:t>
            </w:r>
          </w:p>
        </w:tc>
        <w:tc>
          <w:tcPr>
            <w:tcW w:w="1454" w:type="dxa"/>
            <w:tcBorders>
              <w:bottom w:val="single" w:sz="4" w:space="0" w:color="auto"/>
            </w:tcBorders>
          </w:tcPr>
          <w:p w:rsidR="00664704" w:rsidRDefault="0021623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0,021</w:t>
            </w:r>
          </w:p>
        </w:tc>
      </w:tr>
      <w:tr w:rsidR="00664704" w:rsidTr="007A6FE3">
        <w:trPr>
          <w:jc w:val="center"/>
        </w:trPr>
        <w:tc>
          <w:tcPr>
            <w:tcW w:w="738" w:type="dxa"/>
            <w:tcBorders>
              <w:top w:val="single" w:sz="4" w:space="0" w:color="auto"/>
              <w:bottom w:val="single" w:sz="4" w:space="0" w:color="auto"/>
            </w:tcBorders>
          </w:tcPr>
          <w:p w:rsidR="00664704" w:rsidRDefault="00664704"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90" w:type="dxa"/>
            <w:tcBorders>
              <w:top w:val="single" w:sz="4" w:space="0" w:color="auto"/>
              <w:bottom w:val="single" w:sz="4" w:space="0" w:color="auto"/>
            </w:tcBorders>
          </w:tcPr>
          <w:p w:rsidR="00664704" w:rsidRDefault="00664704" w:rsidP="00D643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Risiko Pasar (NIM)</w:t>
            </w:r>
          </w:p>
        </w:tc>
        <w:tc>
          <w:tcPr>
            <w:tcW w:w="1309" w:type="dxa"/>
            <w:tcBorders>
              <w:top w:val="single" w:sz="4" w:space="0" w:color="auto"/>
              <w:bottom w:val="single" w:sz="4" w:space="0" w:color="auto"/>
            </w:tcBorders>
          </w:tcPr>
          <w:p w:rsidR="00664704" w:rsidRDefault="0021623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27,515</w:t>
            </w:r>
          </w:p>
        </w:tc>
        <w:tc>
          <w:tcPr>
            <w:tcW w:w="1454" w:type="dxa"/>
            <w:tcBorders>
              <w:top w:val="single" w:sz="4" w:space="0" w:color="auto"/>
              <w:bottom w:val="single" w:sz="4" w:space="0" w:color="auto"/>
            </w:tcBorders>
          </w:tcPr>
          <w:p w:rsidR="00664704" w:rsidRDefault="0021623B" w:rsidP="00D6436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0,000</w:t>
            </w:r>
          </w:p>
        </w:tc>
      </w:tr>
    </w:tbl>
    <w:p w:rsidR="0021623B" w:rsidRDefault="0021623B" w:rsidP="00D64362">
      <w:pPr>
        <w:autoSpaceDE w:val="0"/>
        <w:autoSpaceDN w:val="0"/>
        <w:adjustRightInd w:val="0"/>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Sumber: Output SPSS (data diolah)</w:t>
      </w:r>
    </w:p>
    <w:p w:rsidR="00664704" w:rsidRPr="00771C53" w:rsidRDefault="006F7410" w:rsidP="00D64362">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w:t>
      </w:r>
      <w:r w:rsidR="00B04723">
        <w:rPr>
          <w:rFonts w:ascii="Times New Roman" w:hAnsi="Times New Roman" w:cs="Times New Roman"/>
          <w:sz w:val="24"/>
          <w:szCs w:val="24"/>
        </w:rPr>
        <w:t>6 menunjukkan bahwa hasil pengujian statistik non parametik dengan menggunakan uji kruskal wallis seluruhnya menunjukkan nilai signifikansi kurang dari 0,05. Artinya Risiko Kredit, Risiko Likuiditas dan risiko pasar yang di hadapi oleh perbankan di tiga negara mengalami perbedaan yang signifikan.</w:t>
      </w:r>
    </w:p>
    <w:p w:rsidR="00083AD6" w:rsidRPr="00994B25" w:rsidRDefault="00994B25" w:rsidP="00D64362">
      <w:pPr>
        <w:pStyle w:val="ListParagraph"/>
        <w:numPr>
          <w:ilvl w:val="0"/>
          <w:numId w:val="1"/>
        </w:numPr>
        <w:spacing w:line="360" w:lineRule="auto"/>
        <w:ind w:left="360"/>
        <w:jc w:val="both"/>
        <w:rPr>
          <w:rFonts w:ascii="Times New Roman" w:hAnsi="Times New Roman" w:cs="Times New Roman"/>
          <w:b/>
          <w:sz w:val="24"/>
          <w:szCs w:val="24"/>
        </w:rPr>
      </w:pPr>
      <w:r w:rsidRPr="00994B25">
        <w:rPr>
          <w:rFonts w:ascii="Times New Roman" w:hAnsi="Times New Roman" w:cs="Times New Roman"/>
          <w:b/>
          <w:sz w:val="24"/>
          <w:szCs w:val="24"/>
        </w:rPr>
        <w:t>PEMBAHASAN</w:t>
      </w:r>
    </w:p>
    <w:p w:rsidR="00AA2C67" w:rsidRPr="00127E3A" w:rsidRDefault="00265FE3" w:rsidP="00D64362">
      <w:pPr>
        <w:pStyle w:val="ListParagraph"/>
        <w:spacing w:line="360" w:lineRule="auto"/>
        <w:ind w:left="90"/>
        <w:jc w:val="both"/>
        <w:rPr>
          <w:rFonts w:ascii="Times New Roman" w:hAnsi="Times New Roman" w:cs="Times New Roman"/>
          <w:b/>
          <w:sz w:val="24"/>
          <w:szCs w:val="24"/>
        </w:rPr>
      </w:pPr>
      <w:r w:rsidRPr="00127E3A">
        <w:rPr>
          <w:rFonts w:ascii="Times New Roman" w:hAnsi="Times New Roman" w:cs="Times New Roman"/>
          <w:b/>
          <w:sz w:val="24"/>
          <w:szCs w:val="24"/>
        </w:rPr>
        <w:t>5.1 Risiko Kredit Perbankan di Negara Indonesia, Malaysia dan Thailand</w:t>
      </w:r>
    </w:p>
    <w:p w:rsidR="00841EC5" w:rsidRDefault="00482436" w:rsidP="00D64362">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Hasil pengujian menunjukkan bahwa ri</w:t>
      </w:r>
      <w:r w:rsidR="006D4670">
        <w:rPr>
          <w:rFonts w:ascii="Times New Roman" w:hAnsi="Times New Roman" w:cs="Times New Roman"/>
          <w:sz w:val="24"/>
          <w:szCs w:val="24"/>
        </w:rPr>
        <w:t xml:space="preserve">siko kredit </w:t>
      </w:r>
      <w:r w:rsidR="0045019E">
        <w:rPr>
          <w:rFonts w:ascii="Times New Roman" w:hAnsi="Times New Roman" w:cs="Times New Roman"/>
          <w:sz w:val="24"/>
          <w:szCs w:val="24"/>
        </w:rPr>
        <w:t>pada perbankan  yang terletak di tiga negara kawasan Asia Tenggara menunjukkan hasil yang signifikan.</w:t>
      </w:r>
      <w:r w:rsidR="00A863F0">
        <w:rPr>
          <w:rFonts w:ascii="Times New Roman" w:hAnsi="Times New Roman" w:cs="Times New Roman"/>
          <w:sz w:val="24"/>
          <w:szCs w:val="24"/>
        </w:rPr>
        <w:t xml:space="preserve"> Artinya, Risiko Kredit Perbankan di Negara Indonesia, Malaysia dan Thailand memiliki perbedaan yang signifikan. Setiap negara akan menghadapi tingkat risiko keuangan yang berbeda, khususnya adalah risiko kredit. Risiko kredit adalah risiko kerugian yang berasal dari ketidakmampuan nasabah dalam memenuhi kewajibannya terhadap perbankan.</w:t>
      </w:r>
      <w:r w:rsidR="002057B8">
        <w:rPr>
          <w:rFonts w:ascii="Times New Roman" w:hAnsi="Times New Roman" w:cs="Times New Roman"/>
          <w:sz w:val="24"/>
          <w:szCs w:val="24"/>
        </w:rPr>
        <w:t xml:space="preserve"> Semakin tinggi risiko kredit maka akan semakin tinggi pula risiko yang di alami oleh perbankan.</w:t>
      </w:r>
      <w:r w:rsidR="00E31468">
        <w:rPr>
          <w:rFonts w:ascii="Times New Roman" w:hAnsi="Times New Roman" w:cs="Times New Roman"/>
          <w:sz w:val="24"/>
          <w:szCs w:val="24"/>
        </w:rPr>
        <w:t xml:space="preserve"> Data statistik yang disajikan pada tabel 2 menjelaskan bahwa nilai rata-rata rasio NPL terendah adalah Negara Malaysia dengan nilai 0,70%. Hal ini berarti Negara Malaysia mempunyai risiko kredit paling kecil dibanding dengan Negara Indonesia dan Thailand. Sedangkan Risiko Kredit tertinggi dialami oleh negara Thailand dengan rata-rata nilai rasio NPL 3,70%.</w:t>
      </w:r>
      <w:r w:rsidR="00CD15C1">
        <w:rPr>
          <w:rFonts w:ascii="Times New Roman" w:hAnsi="Times New Roman" w:cs="Times New Roman"/>
          <w:sz w:val="24"/>
          <w:szCs w:val="24"/>
        </w:rPr>
        <w:t xml:space="preserve"> </w:t>
      </w:r>
    </w:p>
    <w:p w:rsidR="00CD15C1" w:rsidRDefault="00CD15C1" w:rsidP="00D64362">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Risiko Kredit yang dialami oleh ketiga negara berbeda karena adanya perbedaan prilaku masyarakat </w:t>
      </w:r>
      <w:r w:rsidR="00181C0D">
        <w:rPr>
          <w:rFonts w:ascii="Times New Roman" w:hAnsi="Times New Roman" w:cs="Times New Roman"/>
          <w:sz w:val="24"/>
          <w:szCs w:val="24"/>
        </w:rPr>
        <w:t xml:space="preserve">dalam memenuhi kewajibannya. Kesadaran Masyarakat Indonesia lebih baik dari pada masyarakat pada negara Thailand. Namun demikian, perbankan Indonesia harus terus meningkatkan kinerja keuangan dan meminilalisir risiko kredit agar kemampuan perbankan dalam menghasilkan laba </w:t>
      </w:r>
      <w:r w:rsidR="003878BE">
        <w:rPr>
          <w:rFonts w:ascii="Times New Roman" w:hAnsi="Times New Roman" w:cs="Times New Roman"/>
          <w:sz w:val="24"/>
          <w:szCs w:val="24"/>
        </w:rPr>
        <w:t>bertambah besar. Tingginya rasio NPL pada negara Thailand mengidentifikasikan bahwa perbankan sedang mengalami risiko yang tinggi karena para nasabah mengalami gagal bayar.</w:t>
      </w:r>
    </w:p>
    <w:p w:rsidR="00AD03A4" w:rsidRDefault="00181C0D" w:rsidP="00D64362">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Hasil p</w:t>
      </w:r>
      <w:r w:rsidR="00C110BB">
        <w:rPr>
          <w:rFonts w:ascii="Times New Roman" w:hAnsi="Times New Roman" w:cs="Times New Roman"/>
          <w:sz w:val="24"/>
          <w:szCs w:val="24"/>
        </w:rPr>
        <w:t xml:space="preserve">enelitian ini </w:t>
      </w:r>
      <w:r>
        <w:rPr>
          <w:rFonts w:ascii="Times New Roman" w:hAnsi="Times New Roman" w:cs="Times New Roman"/>
          <w:sz w:val="24"/>
          <w:szCs w:val="24"/>
        </w:rPr>
        <w:t>di dukung</w:t>
      </w:r>
      <w:r w:rsidR="00C110BB">
        <w:rPr>
          <w:rFonts w:ascii="Times New Roman" w:hAnsi="Times New Roman" w:cs="Times New Roman"/>
          <w:sz w:val="24"/>
          <w:szCs w:val="24"/>
        </w:rPr>
        <w:t xml:space="preserve"> oleh Wibowo dan Limajatini (2015)</w:t>
      </w:r>
      <w:r>
        <w:rPr>
          <w:rFonts w:ascii="Times New Roman" w:hAnsi="Times New Roman" w:cs="Times New Roman"/>
          <w:sz w:val="24"/>
          <w:szCs w:val="24"/>
        </w:rPr>
        <w:t xml:space="preserve"> dan Wahyuni (2016) yang menyatakan bahwa rasio NPL Negara Indonesia, Thailand dan Philiphine terdapat perbedaan yang signifikan, dan peneltian yang dilakukan oleh  Putri dan Handayani (2016) menyatakan bahwa NPL bank Indonesia dan Thailand mengalami perbedaan yang signifikan.</w:t>
      </w:r>
    </w:p>
    <w:p w:rsidR="00265FE3" w:rsidRPr="00127E3A" w:rsidRDefault="00265FE3" w:rsidP="00D64362">
      <w:pPr>
        <w:pStyle w:val="ListParagraph"/>
        <w:spacing w:line="360" w:lineRule="auto"/>
        <w:ind w:left="90"/>
        <w:jc w:val="both"/>
        <w:rPr>
          <w:rFonts w:ascii="Times New Roman" w:hAnsi="Times New Roman" w:cs="Times New Roman"/>
          <w:b/>
          <w:sz w:val="24"/>
          <w:szCs w:val="24"/>
        </w:rPr>
      </w:pPr>
      <w:r w:rsidRPr="00127E3A">
        <w:rPr>
          <w:rFonts w:ascii="Times New Roman" w:hAnsi="Times New Roman" w:cs="Times New Roman"/>
          <w:b/>
          <w:sz w:val="24"/>
          <w:szCs w:val="24"/>
        </w:rPr>
        <w:t>5.2 Risiko Likuiditas Perbankan di Negara Indonesia, Malaysia dan Thailand</w:t>
      </w:r>
    </w:p>
    <w:p w:rsidR="00841EC5" w:rsidRDefault="00951E82" w:rsidP="00D64362">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uji statistik menunjukkan bahwa terdapat perbedaan yang signifikan pada risiko likuiditas perbankan di Indonesia, Malaysia dan Thailand. Artinya, risiko likuiditas yang dihadapi oleh negara Indonesia, Malaysia dan Thailand berdeda-beda. </w:t>
      </w:r>
      <w:r w:rsidR="00984262">
        <w:rPr>
          <w:rFonts w:ascii="Times New Roman" w:hAnsi="Times New Roman" w:cs="Times New Roman"/>
          <w:sz w:val="24"/>
          <w:szCs w:val="24"/>
        </w:rPr>
        <w:t>Risiko Likuiditas merupakan risiko yang menggambarkan kemampuan bank dalam memenuhi kewajiban jangka pendeknya. Semakin besar risiko likuiditas, semakin kecil risiko yang akan dihadapi oleh perbankan. Sebaliknya, semakin kecil nilai risiko likuiditas, maka semakin tinggi risiko yang di hadapi oleh perbankan. Negara yang memiliki Risiko likuiditas tertinggi adalah Negara Indonesia</w:t>
      </w:r>
      <w:r w:rsidR="00C247A4">
        <w:rPr>
          <w:rFonts w:ascii="Times New Roman" w:hAnsi="Times New Roman" w:cs="Times New Roman"/>
          <w:sz w:val="24"/>
          <w:szCs w:val="24"/>
        </w:rPr>
        <w:t xml:space="preserve"> dengan nilai rasio LDR sebesar 86,11%</w:t>
      </w:r>
      <w:r w:rsidR="00984262">
        <w:rPr>
          <w:rFonts w:ascii="Times New Roman" w:hAnsi="Times New Roman" w:cs="Times New Roman"/>
          <w:sz w:val="24"/>
          <w:szCs w:val="24"/>
        </w:rPr>
        <w:t>, selanjutnya Negara Malaysia</w:t>
      </w:r>
      <w:r w:rsidR="00C247A4">
        <w:rPr>
          <w:rFonts w:ascii="Times New Roman" w:hAnsi="Times New Roman" w:cs="Times New Roman"/>
          <w:sz w:val="24"/>
          <w:szCs w:val="24"/>
        </w:rPr>
        <w:t xml:space="preserve">  dengan nilai rasio LDR sebesar</w:t>
      </w:r>
      <w:r w:rsidR="00984262">
        <w:rPr>
          <w:rFonts w:ascii="Times New Roman" w:hAnsi="Times New Roman" w:cs="Times New Roman"/>
          <w:sz w:val="24"/>
          <w:szCs w:val="24"/>
        </w:rPr>
        <w:t xml:space="preserve"> </w:t>
      </w:r>
      <w:r w:rsidR="00C247A4">
        <w:rPr>
          <w:rFonts w:ascii="Times New Roman" w:hAnsi="Times New Roman" w:cs="Times New Roman"/>
          <w:sz w:val="24"/>
          <w:szCs w:val="24"/>
        </w:rPr>
        <w:t xml:space="preserve">89,21% </w:t>
      </w:r>
      <w:r w:rsidR="00984262">
        <w:rPr>
          <w:rFonts w:ascii="Times New Roman" w:hAnsi="Times New Roman" w:cs="Times New Roman"/>
          <w:sz w:val="24"/>
          <w:szCs w:val="24"/>
        </w:rPr>
        <w:t>dan Negara Thailand</w:t>
      </w:r>
      <w:r w:rsidR="00C247A4">
        <w:rPr>
          <w:rFonts w:ascii="Times New Roman" w:hAnsi="Times New Roman" w:cs="Times New Roman"/>
          <w:sz w:val="24"/>
          <w:szCs w:val="24"/>
        </w:rPr>
        <w:t xml:space="preserve"> dengan nilai rasio LDR sebesar 92,82%</w:t>
      </w:r>
      <w:r w:rsidR="00984262">
        <w:rPr>
          <w:rFonts w:ascii="Times New Roman" w:hAnsi="Times New Roman" w:cs="Times New Roman"/>
          <w:sz w:val="24"/>
          <w:szCs w:val="24"/>
        </w:rPr>
        <w:t xml:space="preserve">. </w:t>
      </w:r>
      <w:r w:rsidR="00C247A4">
        <w:rPr>
          <w:rFonts w:ascii="Times New Roman" w:hAnsi="Times New Roman" w:cs="Times New Roman"/>
          <w:sz w:val="24"/>
          <w:szCs w:val="24"/>
        </w:rPr>
        <w:t xml:space="preserve">Namun demikian Negara Indonesia masih berada pada batas aman yang ditetapkan oleh Bank Indonesia, yaitu 78% sampai dengan 92%. Hal ini berarti </w:t>
      </w:r>
      <w:r w:rsidR="003012A3">
        <w:rPr>
          <w:rFonts w:ascii="Times New Roman" w:hAnsi="Times New Roman" w:cs="Times New Roman"/>
          <w:sz w:val="24"/>
          <w:szCs w:val="24"/>
        </w:rPr>
        <w:t xml:space="preserve">meskipun negara Indonesia memiliki LDR paling rendah di antara negara Malaysia dan Thailand, tetapi negara Indonesia tidak memiliki risiko likuiditas yang tinggi. Perbankan di Indonesia mampu mengelola pembiayaan dengan baik sehingga perbankan dapat memenuhi segala kewajiban jangka pendeknya. </w:t>
      </w:r>
    </w:p>
    <w:p w:rsidR="00C247A4" w:rsidRDefault="00C247A4" w:rsidP="00D64362">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Hasil peng</w:t>
      </w:r>
      <w:r w:rsidR="003012A3">
        <w:rPr>
          <w:rFonts w:ascii="Times New Roman" w:hAnsi="Times New Roman" w:cs="Times New Roman"/>
          <w:sz w:val="24"/>
          <w:szCs w:val="24"/>
        </w:rPr>
        <w:t>ujian ini didukung oleh penelitian Widyawati (2018) menyatakan bahwa LDR perbankan di Negara Indonesia, Malaysia dan Thailand mem</w:t>
      </w:r>
      <w:r w:rsidR="003B63EE">
        <w:rPr>
          <w:rFonts w:ascii="Times New Roman" w:hAnsi="Times New Roman" w:cs="Times New Roman"/>
          <w:sz w:val="24"/>
          <w:szCs w:val="24"/>
        </w:rPr>
        <w:t xml:space="preserve">iliki perbedaan yang signifikan, </w:t>
      </w:r>
      <w:r w:rsidR="003B63EE" w:rsidRPr="00924746">
        <w:rPr>
          <w:rFonts w:ascii="Times New Roman" w:hAnsi="Times New Roman" w:cs="Times New Roman"/>
          <w:sz w:val="24"/>
          <w:szCs w:val="24"/>
        </w:rPr>
        <w:t>Levia</w:t>
      </w:r>
      <w:r w:rsidR="003B63EE">
        <w:rPr>
          <w:rFonts w:ascii="Times New Roman" w:hAnsi="Times New Roman" w:cs="Times New Roman"/>
          <w:sz w:val="24"/>
          <w:szCs w:val="24"/>
        </w:rPr>
        <w:t xml:space="preserve"> dan </w:t>
      </w:r>
      <w:r w:rsidR="003B63EE" w:rsidRPr="00924746">
        <w:rPr>
          <w:rFonts w:ascii="Times New Roman" w:hAnsi="Times New Roman" w:cs="Times New Roman"/>
          <w:sz w:val="24"/>
          <w:szCs w:val="24"/>
        </w:rPr>
        <w:t>Sulasmiyati</w:t>
      </w:r>
      <w:r w:rsidR="003B63EE">
        <w:rPr>
          <w:rFonts w:ascii="Times New Roman" w:hAnsi="Times New Roman" w:cs="Times New Roman"/>
          <w:sz w:val="24"/>
          <w:szCs w:val="24"/>
        </w:rPr>
        <w:t xml:space="preserve"> (2017) menunjukkan bahwa LDR bank Negara Indonesia dan Malaysia mengalami perbedaan yang signifikan, dan Wahyuni (2016) menyatakan bahwa rasio LDR Negara Indonesia dan Thailand terdapat perbedaan yang signifikan.</w:t>
      </w:r>
    </w:p>
    <w:p w:rsidR="00265FE3" w:rsidRPr="00127E3A" w:rsidRDefault="00265FE3" w:rsidP="00D64362">
      <w:pPr>
        <w:pStyle w:val="ListParagraph"/>
        <w:spacing w:line="360" w:lineRule="auto"/>
        <w:ind w:left="90"/>
        <w:jc w:val="both"/>
        <w:rPr>
          <w:rFonts w:ascii="Times New Roman" w:hAnsi="Times New Roman" w:cs="Times New Roman"/>
          <w:b/>
          <w:sz w:val="24"/>
          <w:szCs w:val="24"/>
        </w:rPr>
      </w:pPr>
      <w:r w:rsidRPr="00127E3A">
        <w:rPr>
          <w:rFonts w:ascii="Times New Roman" w:hAnsi="Times New Roman" w:cs="Times New Roman"/>
          <w:b/>
          <w:sz w:val="24"/>
          <w:szCs w:val="24"/>
        </w:rPr>
        <w:t>5.3 Risiko Pasar Perbankan di Negara Indonesia, Malaysia dan Thailand</w:t>
      </w:r>
    </w:p>
    <w:p w:rsidR="005B1727" w:rsidRDefault="009776C5" w:rsidP="00D64362">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Hasil pengujian statistik menunjukkan bahwa rasio NIM perbankan di Indonesia, Malaysia dan Thailand memiliki perbedaan yang signifikan. Risiko pasar adalah risiko yang disebabkan oleh menurunnya investasi karena berbagai kondisi pasar, misalnya suku bunga dan valas. </w:t>
      </w:r>
      <w:r w:rsidRPr="007A4523">
        <w:rPr>
          <w:rFonts w:ascii="Times New Roman" w:hAnsi="Times New Roman" w:cs="Times New Roman"/>
          <w:sz w:val="24"/>
          <w:szCs w:val="24"/>
        </w:rPr>
        <w:t xml:space="preserve">Risiko tingkat bunga </w:t>
      </w:r>
      <w:r>
        <w:rPr>
          <w:rFonts w:ascii="Times New Roman" w:hAnsi="Times New Roman" w:cs="Times New Roman"/>
          <w:sz w:val="24"/>
          <w:szCs w:val="24"/>
        </w:rPr>
        <w:t>menurut Fahmi (2011;104) adalah</w:t>
      </w:r>
      <w:r w:rsidRPr="007A4523">
        <w:rPr>
          <w:rFonts w:ascii="Times New Roman" w:hAnsi="Times New Roman" w:cs="Times New Roman"/>
          <w:sz w:val="24"/>
          <w:szCs w:val="24"/>
        </w:rPr>
        <w:t xml:space="preserve"> risiko yang disebabkan karena berubahnya tingkat suku bunga (</w:t>
      </w:r>
      <w:r w:rsidRPr="009776C5">
        <w:rPr>
          <w:rFonts w:ascii="Times New Roman" w:hAnsi="Times New Roman" w:cs="Times New Roman"/>
          <w:i/>
          <w:sz w:val="24"/>
          <w:szCs w:val="24"/>
        </w:rPr>
        <w:t>Interest rate</w:t>
      </w:r>
      <w:r w:rsidRPr="007A4523">
        <w:rPr>
          <w:rFonts w:ascii="Times New Roman" w:hAnsi="Times New Roman" w:cs="Times New Roman"/>
          <w:sz w:val="24"/>
          <w:szCs w:val="24"/>
        </w:rPr>
        <w:t>) yang menyebabkan suatu perusahaan mengahadapi dua tipe risiko selanjutnya, yakni risiko perubahan pendapatan dan risiko perubahan nilai pasar</w:t>
      </w:r>
      <w:r w:rsidR="00D8238B">
        <w:rPr>
          <w:rFonts w:ascii="Times New Roman" w:hAnsi="Times New Roman" w:cs="Times New Roman"/>
          <w:sz w:val="24"/>
          <w:szCs w:val="24"/>
        </w:rPr>
        <w:t xml:space="preserve"> yang dalam hal ini diukur dengan rasio NIM. </w:t>
      </w:r>
      <w:r w:rsidR="00076D66">
        <w:rPr>
          <w:rFonts w:ascii="Times New Roman" w:hAnsi="Times New Roman" w:cs="Times New Roman"/>
          <w:sz w:val="24"/>
          <w:szCs w:val="24"/>
        </w:rPr>
        <w:t xml:space="preserve">Semakin tinggi rasio NIM mengidentifikasikan bahwa kinerja perbankan semakin baik dan risiko pasar perbankan semakin kecil. Data statistik pada Tabel 4 menunjukkan bahwa Negara Indonesia memiliki rata-rata rasio NIM paling tinggi, yaitu sebesar 6,54%, selanjutnya Thailand sebesar 2,99% dan Malaysia sebesar 2,30%. Artinya Negara Indonesia bebas dari risiko pasar dan mempunyai kinerja keuangan yang baik. </w:t>
      </w:r>
      <w:r w:rsidR="00127E3A" w:rsidRPr="00127E3A">
        <w:rPr>
          <w:rFonts w:ascii="Times New Roman" w:hAnsi="Times New Roman" w:cs="Times New Roman"/>
          <w:sz w:val="24"/>
          <w:szCs w:val="24"/>
        </w:rPr>
        <w:t>Perbankan</w:t>
      </w:r>
      <w:r w:rsidR="00127E3A">
        <w:rPr>
          <w:rFonts w:ascii="Times New Roman" w:hAnsi="Times New Roman" w:cs="Times New Roman"/>
          <w:sz w:val="24"/>
          <w:szCs w:val="24"/>
        </w:rPr>
        <w:t xml:space="preserve"> di Negara</w:t>
      </w:r>
      <w:r w:rsidR="00127E3A" w:rsidRPr="00127E3A">
        <w:rPr>
          <w:rFonts w:ascii="Times New Roman" w:hAnsi="Times New Roman" w:cs="Times New Roman"/>
          <w:sz w:val="24"/>
          <w:szCs w:val="24"/>
        </w:rPr>
        <w:t xml:space="preserve"> Indonesia memiliki tingkat NIM lebih tinggi</w:t>
      </w:r>
      <w:r w:rsidR="00127E3A">
        <w:rPr>
          <w:rFonts w:ascii="Times New Roman" w:hAnsi="Times New Roman" w:cs="Times New Roman"/>
          <w:sz w:val="24"/>
          <w:szCs w:val="24"/>
        </w:rPr>
        <w:t xml:space="preserve"> dibanding dengan Negara Malaysia dan Thailand</w:t>
      </w:r>
      <w:r w:rsidR="00127E3A" w:rsidRPr="00127E3A">
        <w:rPr>
          <w:rFonts w:ascii="Times New Roman" w:hAnsi="Times New Roman" w:cs="Times New Roman"/>
          <w:sz w:val="24"/>
          <w:szCs w:val="24"/>
        </w:rPr>
        <w:t xml:space="preserve"> yang mengindikasikan </w:t>
      </w:r>
      <w:r w:rsidR="00127E3A" w:rsidRPr="00127E3A">
        <w:rPr>
          <w:rFonts w:ascii="Times New Roman" w:hAnsi="Times New Roman" w:cs="Times New Roman"/>
          <w:sz w:val="24"/>
          <w:szCs w:val="24"/>
        </w:rPr>
        <w:lastRenderedPageBreak/>
        <w:t xml:space="preserve">bahwa kemampuan manajemen </w:t>
      </w:r>
      <w:r w:rsidR="00127E3A">
        <w:rPr>
          <w:rFonts w:ascii="Times New Roman" w:hAnsi="Times New Roman" w:cs="Times New Roman"/>
          <w:sz w:val="24"/>
          <w:szCs w:val="24"/>
        </w:rPr>
        <w:t xml:space="preserve">bank umum </w:t>
      </w:r>
      <w:r w:rsidR="00127E3A" w:rsidRPr="00127E3A">
        <w:rPr>
          <w:rFonts w:ascii="Times New Roman" w:hAnsi="Times New Roman" w:cs="Times New Roman"/>
          <w:sz w:val="24"/>
          <w:szCs w:val="24"/>
        </w:rPr>
        <w:t>dalam mengelola aktiva guna menghasilkan p</w:t>
      </w:r>
      <w:r w:rsidR="00127E3A">
        <w:rPr>
          <w:rFonts w:ascii="Times New Roman" w:hAnsi="Times New Roman" w:cs="Times New Roman"/>
          <w:sz w:val="24"/>
          <w:szCs w:val="24"/>
        </w:rPr>
        <w:t>endapatan bunga bersih sangat baik</w:t>
      </w:r>
      <w:r w:rsidR="00127E3A" w:rsidRPr="00127E3A">
        <w:rPr>
          <w:rFonts w:ascii="Times New Roman" w:hAnsi="Times New Roman" w:cs="Times New Roman"/>
          <w:sz w:val="24"/>
          <w:szCs w:val="24"/>
        </w:rPr>
        <w:t xml:space="preserve">. </w:t>
      </w:r>
      <w:r w:rsidR="00127E3A">
        <w:rPr>
          <w:rFonts w:ascii="Times New Roman" w:hAnsi="Times New Roman" w:cs="Times New Roman"/>
          <w:sz w:val="24"/>
          <w:szCs w:val="24"/>
        </w:rPr>
        <w:t>Semakin tinggi rasio</w:t>
      </w:r>
      <w:r w:rsidR="00127E3A" w:rsidRPr="00127E3A">
        <w:rPr>
          <w:rFonts w:ascii="Times New Roman" w:hAnsi="Times New Roman" w:cs="Times New Roman"/>
          <w:sz w:val="24"/>
          <w:szCs w:val="24"/>
        </w:rPr>
        <w:t xml:space="preserve"> NIM</w:t>
      </w:r>
      <w:r w:rsidR="00127E3A">
        <w:rPr>
          <w:rFonts w:ascii="Times New Roman" w:hAnsi="Times New Roman" w:cs="Times New Roman"/>
          <w:sz w:val="24"/>
          <w:szCs w:val="24"/>
        </w:rPr>
        <w:t xml:space="preserve"> perbankan</w:t>
      </w:r>
      <w:r w:rsidR="00127E3A" w:rsidRPr="00127E3A">
        <w:rPr>
          <w:rFonts w:ascii="Times New Roman" w:hAnsi="Times New Roman" w:cs="Times New Roman"/>
          <w:sz w:val="24"/>
          <w:szCs w:val="24"/>
        </w:rPr>
        <w:t xml:space="preserve"> menunjukkan semakin efisien manajemen </w:t>
      </w:r>
      <w:r w:rsidR="00127E3A">
        <w:rPr>
          <w:rFonts w:ascii="Times New Roman" w:hAnsi="Times New Roman" w:cs="Times New Roman"/>
          <w:sz w:val="24"/>
          <w:szCs w:val="24"/>
        </w:rPr>
        <w:t xml:space="preserve">perbankan </w:t>
      </w:r>
      <w:r w:rsidR="00127E3A" w:rsidRPr="00127E3A">
        <w:rPr>
          <w:rFonts w:ascii="Times New Roman" w:hAnsi="Times New Roman" w:cs="Times New Roman"/>
          <w:sz w:val="24"/>
          <w:szCs w:val="24"/>
        </w:rPr>
        <w:t xml:space="preserve">dalam </w:t>
      </w:r>
      <w:r w:rsidR="00127E3A">
        <w:rPr>
          <w:rFonts w:ascii="Times New Roman" w:hAnsi="Times New Roman" w:cs="Times New Roman"/>
          <w:sz w:val="24"/>
          <w:szCs w:val="24"/>
        </w:rPr>
        <w:t xml:space="preserve">mengelola </w:t>
      </w:r>
      <w:r w:rsidR="00127E3A" w:rsidRPr="00127E3A">
        <w:rPr>
          <w:rFonts w:ascii="Times New Roman" w:hAnsi="Times New Roman" w:cs="Times New Roman"/>
          <w:sz w:val="24"/>
          <w:szCs w:val="24"/>
        </w:rPr>
        <w:t>aktiva dan operasionalnya</w:t>
      </w:r>
      <w:r w:rsidR="00127E3A">
        <w:rPr>
          <w:rFonts w:ascii="Times New Roman" w:hAnsi="Times New Roman" w:cs="Times New Roman"/>
          <w:sz w:val="24"/>
          <w:szCs w:val="24"/>
        </w:rPr>
        <w:t>.</w:t>
      </w:r>
      <w:r w:rsidR="008A5AFF">
        <w:rPr>
          <w:rFonts w:ascii="Times New Roman" w:hAnsi="Times New Roman" w:cs="Times New Roman"/>
          <w:sz w:val="24"/>
          <w:szCs w:val="24"/>
        </w:rPr>
        <w:t xml:space="preserve"> Tingginya rasio </w:t>
      </w:r>
      <w:r w:rsidR="008A5AFF" w:rsidRPr="008A5AFF">
        <w:rPr>
          <w:rFonts w:ascii="Times New Roman" w:hAnsi="Times New Roman" w:cs="Times New Roman"/>
          <w:sz w:val="24"/>
          <w:szCs w:val="24"/>
        </w:rPr>
        <w:t>NIM perbankan</w:t>
      </w:r>
      <w:r w:rsidR="008A5AFF">
        <w:rPr>
          <w:rFonts w:ascii="Times New Roman" w:hAnsi="Times New Roman" w:cs="Times New Roman"/>
          <w:sz w:val="24"/>
          <w:szCs w:val="24"/>
        </w:rPr>
        <w:t xml:space="preserve"> di Negara</w:t>
      </w:r>
      <w:r w:rsidR="008A5AFF" w:rsidRPr="008A5AFF">
        <w:rPr>
          <w:rFonts w:ascii="Times New Roman" w:hAnsi="Times New Roman" w:cs="Times New Roman"/>
          <w:sz w:val="24"/>
          <w:szCs w:val="24"/>
        </w:rPr>
        <w:t xml:space="preserve"> Indonesia dikarenakan </w:t>
      </w:r>
      <w:r w:rsidR="00E03816">
        <w:rPr>
          <w:rFonts w:ascii="Times New Roman" w:hAnsi="Times New Roman" w:cs="Times New Roman"/>
          <w:sz w:val="24"/>
          <w:szCs w:val="24"/>
        </w:rPr>
        <w:t xml:space="preserve">pendapatan utama </w:t>
      </w:r>
      <w:r w:rsidR="008A5AFF">
        <w:rPr>
          <w:rFonts w:ascii="Times New Roman" w:hAnsi="Times New Roman" w:cs="Times New Roman"/>
          <w:sz w:val="24"/>
          <w:szCs w:val="24"/>
        </w:rPr>
        <w:t xml:space="preserve">Bank Umum </w:t>
      </w:r>
      <w:r w:rsidR="008A5AFF" w:rsidRPr="008A5AFF">
        <w:rPr>
          <w:rFonts w:ascii="Times New Roman" w:hAnsi="Times New Roman" w:cs="Times New Roman"/>
          <w:sz w:val="24"/>
          <w:szCs w:val="24"/>
        </w:rPr>
        <w:t xml:space="preserve">di </w:t>
      </w:r>
      <w:r w:rsidR="008A5AFF" w:rsidRPr="00E03816">
        <w:rPr>
          <w:rFonts w:ascii="Times New Roman" w:hAnsi="Times New Roman" w:cs="Times New Roman"/>
          <w:sz w:val="24"/>
          <w:szCs w:val="24"/>
        </w:rPr>
        <w:t xml:space="preserve">Indonesia </w:t>
      </w:r>
      <w:r w:rsidR="00E03816" w:rsidRPr="00E03816">
        <w:rPr>
          <w:rFonts w:ascii="Times New Roman" w:hAnsi="Times New Roman" w:cs="Times New Roman"/>
          <w:sz w:val="24"/>
          <w:szCs w:val="24"/>
        </w:rPr>
        <w:t xml:space="preserve">adalah </w:t>
      </w:r>
      <w:r w:rsidR="008A5AFF" w:rsidRPr="00E03816">
        <w:rPr>
          <w:rFonts w:ascii="Times New Roman" w:hAnsi="Times New Roman" w:cs="Times New Roman"/>
          <w:sz w:val="24"/>
          <w:szCs w:val="24"/>
        </w:rPr>
        <w:t>pendapatan bunga.</w:t>
      </w:r>
      <w:r w:rsidR="008A5AFF" w:rsidRPr="008A5AFF">
        <w:rPr>
          <w:rFonts w:ascii="Times New Roman" w:hAnsi="Times New Roman" w:cs="Times New Roman"/>
          <w:color w:val="FF0000"/>
          <w:sz w:val="24"/>
          <w:szCs w:val="24"/>
        </w:rPr>
        <w:t xml:space="preserve"> </w:t>
      </w:r>
      <w:r w:rsidR="00E03816" w:rsidRPr="00E03816">
        <w:rPr>
          <w:rFonts w:ascii="Times New Roman" w:hAnsi="Times New Roman" w:cs="Times New Roman"/>
          <w:sz w:val="24"/>
          <w:szCs w:val="24"/>
        </w:rPr>
        <w:t>Pendapatan bunga merupakan kunci utama perbankan dalam memperoleh laba. Semakin tinggi margin bunga bersih perbankan, maka biaya operasional bank akan dapat di</w:t>
      </w:r>
      <w:r w:rsidR="00E03816" w:rsidRPr="00E03816">
        <w:rPr>
          <w:rFonts w:ascii="Times New Roman" w:hAnsi="Times New Roman" w:cs="Times New Roman"/>
          <w:color w:val="FF0000"/>
          <w:sz w:val="24"/>
          <w:szCs w:val="24"/>
        </w:rPr>
        <w:t xml:space="preserve"> tutup</w:t>
      </w:r>
      <w:r w:rsidR="00E03816" w:rsidRPr="00E03816">
        <w:rPr>
          <w:rFonts w:ascii="Times New Roman" w:hAnsi="Times New Roman" w:cs="Times New Roman"/>
          <w:sz w:val="24"/>
          <w:szCs w:val="24"/>
        </w:rPr>
        <w:t xml:space="preserve"> dengan baik.</w:t>
      </w:r>
    </w:p>
    <w:p w:rsidR="00127E3A" w:rsidRPr="009C1CC0" w:rsidRDefault="00127E3A" w:rsidP="00D64362">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Penelitian ini di dukung oleh </w:t>
      </w:r>
      <w:r w:rsidR="008A5AFF">
        <w:rPr>
          <w:rFonts w:ascii="Times New Roman" w:hAnsi="Times New Roman" w:cs="Times New Roman"/>
          <w:sz w:val="24"/>
          <w:szCs w:val="24"/>
        </w:rPr>
        <w:t xml:space="preserve">beberapa </w:t>
      </w:r>
      <w:r>
        <w:rPr>
          <w:rFonts w:ascii="Times New Roman" w:hAnsi="Times New Roman" w:cs="Times New Roman"/>
          <w:sz w:val="24"/>
          <w:szCs w:val="24"/>
        </w:rPr>
        <w:t>penelitian</w:t>
      </w:r>
      <w:r w:rsidR="008A5AFF">
        <w:rPr>
          <w:rFonts w:ascii="Times New Roman" w:hAnsi="Times New Roman" w:cs="Times New Roman"/>
          <w:sz w:val="24"/>
          <w:szCs w:val="24"/>
        </w:rPr>
        <w:t xml:space="preserve"> terdahulu, diantaranya</w:t>
      </w:r>
      <w:r>
        <w:rPr>
          <w:rFonts w:ascii="Times New Roman" w:hAnsi="Times New Roman" w:cs="Times New Roman"/>
          <w:sz w:val="24"/>
          <w:szCs w:val="24"/>
        </w:rPr>
        <w:t xml:space="preserve"> </w:t>
      </w:r>
      <w:r w:rsidR="008A5AFF" w:rsidRPr="00924746">
        <w:rPr>
          <w:rFonts w:ascii="Times New Roman" w:hAnsi="Times New Roman" w:cs="Times New Roman"/>
          <w:sz w:val="24"/>
          <w:szCs w:val="24"/>
        </w:rPr>
        <w:t>Levia</w:t>
      </w:r>
      <w:r w:rsidR="008A5AFF">
        <w:rPr>
          <w:rFonts w:ascii="Times New Roman" w:hAnsi="Times New Roman" w:cs="Times New Roman"/>
          <w:sz w:val="24"/>
          <w:szCs w:val="24"/>
        </w:rPr>
        <w:t xml:space="preserve"> dan </w:t>
      </w:r>
      <w:r w:rsidR="008A5AFF" w:rsidRPr="00924746">
        <w:rPr>
          <w:rFonts w:ascii="Times New Roman" w:hAnsi="Times New Roman" w:cs="Times New Roman"/>
          <w:sz w:val="24"/>
          <w:szCs w:val="24"/>
        </w:rPr>
        <w:t>Sulasmiyati</w:t>
      </w:r>
      <w:r w:rsidR="008A5AFF">
        <w:rPr>
          <w:rFonts w:ascii="Times New Roman" w:hAnsi="Times New Roman" w:cs="Times New Roman"/>
          <w:sz w:val="24"/>
          <w:szCs w:val="24"/>
        </w:rPr>
        <w:t xml:space="preserve"> (2017) menunjukkan bahwa NIM bank Negara Indonesia dan Malaysia mengalami perbedaan yang signifikan. Widyawati (2018) menyatakan bahwa rasio NIM perbankan di Negara Indonesia, Malaysia dan Thailand memiliki perbedaan yang signifikan, dan Wahyuni (2016) menyatakan bahwa rasio NIM Negara Indonesia dan Thailand terdapat perbedaan yang signifikan.</w:t>
      </w:r>
    </w:p>
    <w:p w:rsidR="009C1CC0" w:rsidRPr="00994B25" w:rsidRDefault="00994B25" w:rsidP="00D64362">
      <w:pPr>
        <w:pStyle w:val="ListParagraph"/>
        <w:numPr>
          <w:ilvl w:val="0"/>
          <w:numId w:val="1"/>
        </w:numPr>
        <w:spacing w:line="360" w:lineRule="auto"/>
        <w:ind w:left="360"/>
        <w:jc w:val="both"/>
        <w:rPr>
          <w:rFonts w:ascii="Times New Roman" w:hAnsi="Times New Roman" w:cs="Times New Roman"/>
          <w:b/>
          <w:sz w:val="24"/>
          <w:szCs w:val="24"/>
        </w:rPr>
      </w:pPr>
      <w:r w:rsidRPr="00994B25">
        <w:rPr>
          <w:rFonts w:ascii="Times New Roman" w:hAnsi="Times New Roman" w:cs="Times New Roman"/>
          <w:b/>
          <w:sz w:val="24"/>
          <w:szCs w:val="24"/>
        </w:rPr>
        <w:t>KESIMPULAN</w:t>
      </w:r>
    </w:p>
    <w:p w:rsidR="00994B25" w:rsidRDefault="001F128B" w:rsidP="001F128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Penilaian terhadap risiko kredit, risiko likuiditas dan risiko pasar menunjukkan hasil yang signifikan. Hasil analisis data menyebutkan bahwa masing-masing Negara memiliki risiko keuangan yang berbeda. Risiko kredit yang tinggi dihadapi oleh Negara Thailand, namun demikian negara ini mampu meminimalisir risiko likuiditas yang lebih baik di banding dengan Negara Indonesia dan Malaysia. Risiko likuiditas yang paling tinggi dihadapi oleh Negara Indonesia, namun nilai rasio ini menunjukkan angka aman yang telah ditetapkan oleh Bank Indonesia. Negara Indonesia mempunyai kinerja keuangan paling baik dibanding negara Malaysia dan Thailand dilihat dari rasio NIM. Artinya, risiko pasar yang dihadapi negara Indonesia paling rendah, dan negara yang menghadapi risiko pasar paling tinggi adalah Negara Malaysia.</w:t>
      </w:r>
    </w:p>
    <w:p w:rsidR="009C1CC0" w:rsidRPr="00994B25" w:rsidRDefault="00994B25" w:rsidP="00D64362">
      <w:pPr>
        <w:pStyle w:val="ListParagraph"/>
        <w:numPr>
          <w:ilvl w:val="0"/>
          <w:numId w:val="1"/>
        </w:numPr>
        <w:spacing w:line="360" w:lineRule="auto"/>
        <w:ind w:left="360"/>
        <w:jc w:val="both"/>
        <w:rPr>
          <w:rFonts w:ascii="Times New Roman" w:hAnsi="Times New Roman" w:cs="Times New Roman"/>
          <w:b/>
          <w:sz w:val="24"/>
          <w:szCs w:val="24"/>
        </w:rPr>
      </w:pPr>
      <w:r w:rsidRPr="00994B25">
        <w:rPr>
          <w:rFonts w:ascii="Times New Roman" w:hAnsi="Times New Roman" w:cs="Times New Roman"/>
          <w:b/>
          <w:sz w:val="24"/>
          <w:szCs w:val="24"/>
        </w:rPr>
        <w:t xml:space="preserve">SARAN </w:t>
      </w:r>
    </w:p>
    <w:p w:rsidR="00994B25" w:rsidRDefault="0085373E" w:rsidP="0085373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Hasil penelitian ini diharapkan dapat menjadi bahan pertimbangan dan pengambilan keputusan bagi pihak perbankan, sehingga bank dapat menghidari risiko keuangan yang akan datang. Adanya penelitian ini diharapkan setiap perbankan dapat memperbaiki kinerja keuangannya, sehingga setiap perbankan dapat bersaing pada tingkat nasional maupun internasional.</w:t>
      </w:r>
    </w:p>
    <w:p w:rsidR="0085373E" w:rsidRDefault="0085373E" w:rsidP="0085373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Bagi peneliti selanjutnya, diharapkan dapat menganalisis risiko keuangan dan non keuangan, seperti risiko hukum, risiko strategi, risiko reputasi dan lain-lain, serta peneliti dapat menambahkan negara-negara lain baik ASEAN maupun </w:t>
      </w:r>
      <w:r w:rsidR="001117F3">
        <w:rPr>
          <w:rFonts w:ascii="Times New Roman" w:hAnsi="Times New Roman" w:cs="Times New Roman"/>
          <w:sz w:val="24"/>
          <w:szCs w:val="24"/>
        </w:rPr>
        <w:t>internasional lainnya, sehingga dapat diperoleh hasil penelitian yang lebih detail dan maksimal.</w:t>
      </w:r>
    </w:p>
    <w:p w:rsidR="0016242E" w:rsidRDefault="00994B25" w:rsidP="00D64362">
      <w:pPr>
        <w:pStyle w:val="ListParagraph"/>
        <w:numPr>
          <w:ilvl w:val="0"/>
          <w:numId w:val="1"/>
        </w:numPr>
        <w:spacing w:line="360" w:lineRule="auto"/>
        <w:ind w:left="360"/>
        <w:jc w:val="both"/>
        <w:rPr>
          <w:rFonts w:ascii="Times New Roman" w:hAnsi="Times New Roman" w:cs="Times New Roman"/>
          <w:b/>
          <w:sz w:val="24"/>
          <w:szCs w:val="24"/>
        </w:rPr>
      </w:pPr>
      <w:r w:rsidRPr="00994B25">
        <w:rPr>
          <w:rFonts w:ascii="Times New Roman" w:hAnsi="Times New Roman" w:cs="Times New Roman"/>
          <w:b/>
          <w:sz w:val="24"/>
          <w:szCs w:val="24"/>
        </w:rPr>
        <w:lastRenderedPageBreak/>
        <w:t>DAFTAR PUSTAKA</w:t>
      </w:r>
    </w:p>
    <w:p w:rsidR="001117F3" w:rsidRDefault="001117F3" w:rsidP="00D64362">
      <w:pPr>
        <w:pStyle w:val="ListParagraph"/>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Anggun Wahyuni. 2016. </w:t>
      </w:r>
      <w:r w:rsidRPr="00924746">
        <w:rPr>
          <w:rFonts w:ascii="Times New Roman" w:hAnsi="Times New Roman" w:cs="Times New Roman"/>
          <w:sz w:val="24"/>
          <w:szCs w:val="24"/>
        </w:rPr>
        <w:t>Analisis Perbandingan Kinerja Keuangan Perbankan Asean (Studi Pada Bank Umum I</w:t>
      </w:r>
      <w:r>
        <w:rPr>
          <w:rFonts w:ascii="Times New Roman" w:hAnsi="Times New Roman" w:cs="Times New Roman"/>
          <w:sz w:val="24"/>
          <w:szCs w:val="24"/>
        </w:rPr>
        <w:t>ndonesia, Thailand d</w:t>
      </w:r>
      <w:r w:rsidRPr="00924746">
        <w:rPr>
          <w:rFonts w:ascii="Times New Roman" w:hAnsi="Times New Roman" w:cs="Times New Roman"/>
          <w:sz w:val="24"/>
          <w:szCs w:val="24"/>
        </w:rPr>
        <w:t>an Filipina)</w:t>
      </w:r>
      <w:r>
        <w:rPr>
          <w:rFonts w:ascii="Times New Roman" w:hAnsi="Times New Roman" w:cs="Times New Roman"/>
          <w:sz w:val="24"/>
          <w:szCs w:val="24"/>
        </w:rPr>
        <w:t>. Jurnal Nominal, Vol. V No.</w:t>
      </w:r>
      <w:r w:rsidRPr="00924746">
        <w:rPr>
          <w:rFonts w:ascii="Times New Roman" w:hAnsi="Times New Roman" w:cs="Times New Roman"/>
          <w:sz w:val="24"/>
          <w:szCs w:val="24"/>
        </w:rPr>
        <w:t xml:space="preserve"> 2</w:t>
      </w:r>
      <w:r>
        <w:rPr>
          <w:rFonts w:ascii="Times New Roman" w:hAnsi="Times New Roman" w:cs="Times New Roman"/>
          <w:sz w:val="24"/>
          <w:szCs w:val="24"/>
        </w:rPr>
        <w:t>. Hal 1-15.</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924746">
        <w:rPr>
          <w:rFonts w:ascii="Times New Roman" w:hAnsi="Times New Roman" w:cs="Times New Roman"/>
          <w:sz w:val="24"/>
          <w:szCs w:val="24"/>
        </w:rPr>
        <w:t>Ayukha Asna Levia</w:t>
      </w:r>
      <w:r>
        <w:rPr>
          <w:rFonts w:ascii="Times New Roman" w:hAnsi="Times New Roman" w:cs="Times New Roman"/>
          <w:sz w:val="24"/>
          <w:szCs w:val="24"/>
        </w:rPr>
        <w:t xml:space="preserve"> dan</w:t>
      </w:r>
      <w:r w:rsidRPr="00924746">
        <w:rPr>
          <w:rFonts w:ascii="Times New Roman" w:hAnsi="Times New Roman" w:cs="Times New Roman"/>
          <w:sz w:val="24"/>
          <w:szCs w:val="24"/>
        </w:rPr>
        <w:t xml:space="preserve"> Sri Sulasmiyati</w:t>
      </w:r>
      <w:r>
        <w:rPr>
          <w:rFonts w:ascii="Times New Roman" w:hAnsi="Times New Roman" w:cs="Times New Roman"/>
          <w:sz w:val="24"/>
          <w:szCs w:val="24"/>
        </w:rPr>
        <w:t xml:space="preserve">. 2017. </w:t>
      </w:r>
      <w:r w:rsidRPr="00924746">
        <w:rPr>
          <w:rFonts w:ascii="Times New Roman" w:hAnsi="Times New Roman" w:cs="Times New Roman"/>
          <w:sz w:val="24"/>
          <w:szCs w:val="24"/>
        </w:rPr>
        <w:t>Analisis Komparasi Kinerja Perbankan Terbesar Di Indonesia Dan Malaysia (Studi pada Bank Umum di Indonesia dan Malaysia Tahun 2011 – 2015)</w:t>
      </w:r>
      <w:r>
        <w:rPr>
          <w:rFonts w:ascii="Times New Roman" w:hAnsi="Times New Roman" w:cs="Times New Roman"/>
          <w:sz w:val="24"/>
          <w:szCs w:val="24"/>
        </w:rPr>
        <w:t xml:space="preserve">. </w:t>
      </w:r>
      <w:r w:rsidRPr="00924746">
        <w:rPr>
          <w:rFonts w:ascii="Times New Roman" w:hAnsi="Times New Roman" w:cs="Times New Roman"/>
          <w:sz w:val="24"/>
          <w:szCs w:val="24"/>
        </w:rPr>
        <w:t>Jurnal Administras</w:t>
      </w:r>
      <w:r>
        <w:rPr>
          <w:rFonts w:ascii="Times New Roman" w:hAnsi="Times New Roman" w:cs="Times New Roman"/>
          <w:sz w:val="24"/>
          <w:szCs w:val="24"/>
        </w:rPr>
        <w:t>i Bisnis (JAB), Vol. 51 No. 2. Hal. 40-49.</w:t>
      </w:r>
    </w:p>
    <w:p w:rsidR="001117F3" w:rsidRP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Chen, Sandy. 2014. Integrated Bank Analysis and Valuation. New York: Palgrave Macmillan.</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 xml:space="preserve">Fahmi, Irham. 2011. Manajemen Risiko Teori, Kasus, Dan Solusi. Bandung: Alfabeta. </w:t>
      </w:r>
    </w:p>
    <w:p w:rsidR="001117F3" w:rsidRP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Fahmi, Irham. 2014. Pengantar Perbankan Teori &amp; Aplikasi. Bandung: Alfabeta.</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Greuning, Hennie Van dan Bratonavic, Sonja Brajovic. 2011. “Analyzing Banking Risk”. Terjemahan M. Ramdhan Andi. Analisis Risiko Perbankan. Edisi Ketiga. Jakarta: Selemba Empat.</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C247A4">
        <w:rPr>
          <w:rFonts w:ascii="Times New Roman" w:hAnsi="Times New Roman" w:cs="Times New Roman"/>
          <w:sz w:val="24"/>
          <w:szCs w:val="24"/>
        </w:rPr>
        <w:t>https://infobanknews.com/topnews/lps-ldr-perbankan-masih-cenderung-tinggi-hingga-akhir-tahun/</w:t>
      </w:r>
      <w:r>
        <w:rPr>
          <w:rFonts w:ascii="Times New Roman" w:hAnsi="Times New Roman" w:cs="Times New Roman"/>
          <w:sz w:val="24"/>
          <w:szCs w:val="24"/>
        </w:rPr>
        <w:t xml:space="preserve"> (diakses pada tanggal 30 Mei 2021)</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Kasmir. 2015. Analisis Laporan Keuangan. Cetakan ke-delapan. Jakarta: PT. Raja Grafindo Persada</w:t>
      </w:r>
      <w:r>
        <w:rPr>
          <w:rFonts w:ascii="Times New Roman" w:hAnsi="Times New Roman" w:cs="Times New Roman"/>
          <w:sz w:val="24"/>
          <w:szCs w:val="24"/>
        </w:rPr>
        <w:t>.</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 xml:space="preserve">Machmud, Amir dan Rukmana. 2010. Bank Syariah Teori, Kebijakan Dan Studi Empiris Di Indonesia. Jakarta: Erlangga. </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Siahaan, Hinsa. 2009. Manajemen Risiko Pada Perusahaan Birokrasi. Cetakan Kedua. Jakarta: PT. Elex Media Komputindo.</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 xml:space="preserve">Sulhan dan Siswanto, Ely. 2008. Manajemen Bank Konvensional Dan Syariah. Malang: UIN-Malang press. </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9E153B">
        <w:rPr>
          <w:rFonts w:ascii="Times New Roman" w:hAnsi="Times New Roman" w:cs="Times New Roman"/>
          <w:sz w:val="24"/>
          <w:szCs w:val="24"/>
        </w:rPr>
        <w:t>Susanto Wibowo</w:t>
      </w:r>
      <w:r>
        <w:rPr>
          <w:rFonts w:ascii="Times New Roman" w:hAnsi="Times New Roman" w:cs="Times New Roman"/>
          <w:sz w:val="24"/>
          <w:szCs w:val="24"/>
        </w:rPr>
        <w:t xml:space="preserve"> dan</w:t>
      </w:r>
      <w:r w:rsidRPr="009E153B">
        <w:rPr>
          <w:rFonts w:ascii="Times New Roman" w:hAnsi="Times New Roman" w:cs="Times New Roman"/>
          <w:sz w:val="24"/>
          <w:szCs w:val="24"/>
        </w:rPr>
        <w:t xml:space="preserve"> Limajatini</w:t>
      </w:r>
      <w:r>
        <w:rPr>
          <w:rFonts w:ascii="Times New Roman" w:hAnsi="Times New Roman" w:cs="Times New Roman"/>
          <w:sz w:val="24"/>
          <w:szCs w:val="24"/>
        </w:rPr>
        <w:t xml:space="preserve">. 2015. </w:t>
      </w:r>
      <w:r w:rsidRPr="009E153B">
        <w:rPr>
          <w:rFonts w:ascii="Times New Roman" w:hAnsi="Times New Roman" w:cs="Times New Roman"/>
          <w:sz w:val="24"/>
          <w:szCs w:val="24"/>
        </w:rPr>
        <w:t>Identifikasi Kinerja Keuangan Perbankan Terbaik Di Asean (Studi Komparatif: Indonesia, Thailand, Philipine)</w:t>
      </w:r>
      <w:r>
        <w:rPr>
          <w:rFonts w:ascii="Times New Roman" w:hAnsi="Times New Roman" w:cs="Times New Roman"/>
          <w:sz w:val="24"/>
          <w:szCs w:val="24"/>
        </w:rPr>
        <w:t xml:space="preserve">. </w:t>
      </w:r>
      <w:r w:rsidRPr="009E153B">
        <w:rPr>
          <w:rFonts w:ascii="Times New Roman" w:hAnsi="Times New Roman" w:cs="Times New Roman"/>
          <w:sz w:val="24"/>
          <w:szCs w:val="24"/>
        </w:rPr>
        <w:t xml:space="preserve">Prosiding Seminar Nasional Multi Disiplin </w:t>
      </w:r>
      <w:r>
        <w:rPr>
          <w:rFonts w:ascii="Times New Roman" w:hAnsi="Times New Roman" w:cs="Times New Roman"/>
          <w:sz w:val="24"/>
          <w:szCs w:val="24"/>
        </w:rPr>
        <w:t>Ilmu &amp; Call For Papers Unisbank.</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1117F3">
        <w:rPr>
          <w:rFonts w:ascii="Times New Roman" w:hAnsi="Times New Roman" w:cs="Times New Roman"/>
          <w:sz w:val="24"/>
          <w:szCs w:val="24"/>
        </w:rPr>
        <w:t>Wardiah, Mia Lasmi. 2013. Dasar-Dasar Perbankan. Bandung: CV. Pusaka Setia.</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3012A3">
        <w:rPr>
          <w:rFonts w:ascii="Times New Roman" w:hAnsi="Times New Roman" w:cs="Times New Roman"/>
          <w:sz w:val="24"/>
          <w:szCs w:val="24"/>
        </w:rPr>
        <w:t>Wiwik Widyawati</w:t>
      </w:r>
      <w:r>
        <w:rPr>
          <w:rFonts w:ascii="Times New Roman" w:hAnsi="Times New Roman" w:cs="Times New Roman"/>
          <w:sz w:val="24"/>
          <w:szCs w:val="24"/>
        </w:rPr>
        <w:t xml:space="preserve">. 2018. </w:t>
      </w:r>
      <w:r w:rsidRPr="003012A3">
        <w:rPr>
          <w:rFonts w:ascii="Times New Roman" w:hAnsi="Times New Roman" w:cs="Times New Roman"/>
          <w:sz w:val="24"/>
          <w:szCs w:val="24"/>
        </w:rPr>
        <w:t>Analisis Komparatif Tingkat Kesehatan Perbankan Dengan Metode Camels Di Asean (Studi pada Bank Umum Indonesia, Malaysia, Singapura, Thailand, dan Filipina Tahun 2012-2016)</w:t>
      </w:r>
      <w:r>
        <w:rPr>
          <w:rFonts w:ascii="Times New Roman" w:hAnsi="Times New Roman" w:cs="Times New Roman"/>
          <w:sz w:val="24"/>
          <w:szCs w:val="24"/>
        </w:rPr>
        <w:t xml:space="preserve">. </w:t>
      </w:r>
      <w:r w:rsidRPr="003012A3">
        <w:rPr>
          <w:rFonts w:ascii="Times New Roman" w:hAnsi="Times New Roman" w:cs="Times New Roman"/>
          <w:sz w:val="24"/>
          <w:szCs w:val="24"/>
        </w:rPr>
        <w:t>Jurnal Ilmu M</w:t>
      </w:r>
      <w:r>
        <w:rPr>
          <w:rFonts w:ascii="Times New Roman" w:hAnsi="Times New Roman" w:cs="Times New Roman"/>
          <w:sz w:val="24"/>
          <w:szCs w:val="24"/>
        </w:rPr>
        <w:t>anajemen, Vol. 6 No. 4. Hal 531-541.</w:t>
      </w:r>
    </w:p>
    <w:p w:rsidR="001117F3" w:rsidRDefault="001117F3" w:rsidP="00D64362">
      <w:pPr>
        <w:pStyle w:val="ListParagraph"/>
        <w:spacing w:line="360" w:lineRule="auto"/>
        <w:ind w:hanging="720"/>
        <w:jc w:val="both"/>
        <w:rPr>
          <w:rFonts w:ascii="Times New Roman" w:hAnsi="Times New Roman" w:cs="Times New Roman"/>
          <w:sz w:val="24"/>
          <w:szCs w:val="24"/>
        </w:rPr>
      </w:pPr>
      <w:r w:rsidRPr="009E153B">
        <w:rPr>
          <w:rFonts w:ascii="Times New Roman" w:hAnsi="Times New Roman" w:cs="Times New Roman"/>
          <w:sz w:val="24"/>
          <w:szCs w:val="24"/>
        </w:rPr>
        <w:t>Yunita Ikasari Ratna Putri dan Yuniorita Indah Handayani</w:t>
      </w:r>
      <w:r>
        <w:rPr>
          <w:rFonts w:ascii="Times New Roman" w:hAnsi="Times New Roman" w:cs="Times New Roman"/>
          <w:sz w:val="24"/>
          <w:szCs w:val="24"/>
        </w:rPr>
        <w:t xml:space="preserve">. 2016. </w:t>
      </w:r>
      <w:r w:rsidRPr="009E153B">
        <w:rPr>
          <w:rFonts w:ascii="Times New Roman" w:hAnsi="Times New Roman" w:cs="Times New Roman"/>
          <w:sz w:val="24"/>
          <w:szCs w:val="24"/>
        </w:rPr>
        <w:t>Perbandingan Kinerja Perbankan Indonesia Dan Thailand. Apakah Ada Perbedaan?</w:t>
      </w:r>
      <w:r>
        <w:rPr>
          <w:rFonts w:ascii="Times New Roman" w:hAnsi="Times New Roman" w:cs="Times New Roman"/>
          <w:sz w:val="24"/>
          <w:szCs w:val="24"/>
        </w:rPr>
        <w:t xml:space="preserve">. Prosiding Seminar </w:t>
      </w:r>
      <w:r>
        <w:rPr>
          <w:rFonts w:ascii="Times New Roman" w:hAnsi="Times New Roman" w:cs="Times New Roman"/>
          <w:sz w:val="24"/>
          <w:szCs w:val="24"/>
        </w:rPr>
        <w:lastRenderedPageBreak/>
        <w:t xml:space="preserve">Nasional Prodi Manajemen FEB Universitas Jember. </w:t>
      </w:r>
      <w:r w:rsidRPr="009E153B">
        <w:rPr>
          <w:rFonts w:ascii="Times New Roman" w:hAnsi="Times New Roman" w:cs="Times New Roman"/>
          <w:sz w:val="24"/>
          <w:szCs w:val="24"/>
        </w:rPr>
        <w:t>ISBN 978-602-60569-2-4</w:t>
      </w:r>
      <w:r>
        <w:rPr>
          <w:rFonts w:ascii="Times New Roman" w:hAnsi="Times New Roman" w:cs="Times New Roman"/>
          <w:sz w:val="24"/>
          <w:szCs w:val="24"/>
        </w:rPr>
        <w:t>. Hal. 414-424.</w:t>
      </w:r>
    </w:p>
    <w:sectPr w:rsidR="001117F3" w:rsidSect="00D64362">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C3921"/>
    <w:multiLevelType w:val="hybridMultilevel"/>
    <w:tmpl w:val="C4D00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31382"/>
    <w:multiLevelType w:val="multilevel"/>
    <w:tmpl w:val="E1B0A2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7C009D0"/>
    <w:multiLevelType w:val="multilevel"/>
    <w:tmpl w:val="E1B0A2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9A43D6F"/>
    <w:multiLevelType w:val="multilevel"/>
    <w:tmpl w:val="E1B0A2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useFELayout/>
  </w:compat>
  <w:rsids>
    <w:rsidRoot w:val="00402898"/>
    <w:rsid w:val="00005BD6"/>
    <w:rsid w:val="0001085C"/>
    <w:rsid w:val="00021BCE"/>
    <w:rsid w:val="00025754"/>
    <w:rsid w:val="00056088"/>
    <w:rsid w:val="000753FE"/>
    <w:rsid w:val="00076D66"/>
    <w:rsid w:val="00081A56"/>
    <w:rsid w:val="00083AD6"/>
    <w:rsid w:val="00091EF7"/>
    <w:rsid w:val="00103AA3"/>
    <w:rsid w:val="001111B1"/>
    <w:rsid w:val="001117F3"/>
    <w:rsid w:val="00111CDD"/>
    <w:rsid w:val="00127E3A"/>
    <w:rsid w:val="00143EBF"/>
    <w:rsid w:val="0016242E"/>
    <w:rsid w:val="00181C0D"/>
    <w:rsid w:val="00184836"/>
    <w:rsid w:val="00185703"/>
    <w:rsid w:val="001D7EF5"/>
    <w:rsid w:val="001F128B"/>
    <w:rsid w:val="00200CAB"/>
    <w:rsid w:val="002057B8"/>
    <w:rsid w:val="0021623B"/>
    <w:rsid w:val="0026269A"/>
    <w:rsid w:val="00265FE3"/>
    <w:rsid w:val="00290E0B"/>
    <w:rsid w:val="002E2E5E"/>
    <w:rsid w:val="00300283"/>
    <w:rsid w:val="003012A3"/>
    <w:rsid w:val="00334062"/>
    <w:rsid w:val="003414EB"/>
    <w:rsid w:val="003736E7"/>
    <w:rsid w:val="00374B84"/>
    <w:rsid w:val="003878BE"/>
    <w:rsid w:val="003A1940"/>
    <w:rsid w:val="003B0656"/>
    <w:rsid w:val="003B63EE"/>
    <w:rsid w:val="003C7DC4"/>
    <w:rsid w:val="00402898"/>
    <w:rsid w:val="0042142A"/>
    <w:rsid w:val="0045019E"/>
    <w:rsid w:val="00463284"/>
    <w:rsid w:val="00482436"/>
    <w:rsid w:val="004A528A"/>
    <w:rsid w:val="004D2D46"/>
    <w:rsid w:val="004D6054"/>
    <w:rsid w:val="00533BED"/>
    <w:rsid w:val="005340A4"/>
    <w:rsid w:val="00536AB5"/>
    <w:rsid w:val="00536DE8"/>
    <w:rsid w:val="00540417"/>
    <w:rsid w:val="005437A6"/>
    <w:rsid w:val="00577EA6"/>
    <w:rsid w:val="00585271"/>
    <w:rsid w:val="00592F48"/>
    <w:rsid w:val="005B1727"/>
    <w:rsid w:val="005C3532"/>
    <w:rsid w:val="00634A0E"/>
    <w:rsid w:val="00650971"/>
    <w:rsid w:val="00664704"/>
    <w:rsid w:val="006670C2"/>
    <w:rsid w:val="006A7B6B"/>
    <w:rsid w:val="006D4670"/>
    <w:rsid w:val="006E754F"/>
    <w:rsid w:val="006F7410"/>
    <w:rsid w:val="0074676F"/>
    <w:rsid w:val="00747CF0"/>
    <w:rsid w:val="007645EB"/>
    <w:rsid w:val="007675EA"/>
    <w:rsid w:val="00771C53"/>
    <w:rsid w:val="007851CC"/>
    <w:rsid w:val="007932CE"/>
    <w:rsid w:val="007A4523"/>
    <w:rsid w:val="007C2E8B"/>
    <w:rsid w:val="007E1036"/>
    <w:rsid w:val="007E615C"/>
    <w:rsid w:val="008040B2"/>
    <w:rsid w:val="00836769"/>
    <w:rsid w:val="00841EC5"/>
    <w:rsid w:val="008437DD"/>
    <w:rsid w:val="00852CB6"/>
    <w:rsid w:val="0085373E"/>
    <w:rsid w:val="00882BE6"/>
    <w:rsid w:val="008A5AFF"/>
    <w:rsid w:val="008C2233"/>
    <w:rsid w:val="008E55E0"/>
    <w:rsid w:val="008F0408"/>
    <w:rsid w:val="00900651"/>
    <w:rsid w:val="00924746"/>
    <w:rsid w:val="0092793D"/>
    <w:rsid w:val="00951E82"/>
    <w:rsid w:val="00953380"/>
    <w:rsid w:val="009548DE"/>
    <w:rsid w:val="00957E16"/>
    <w:rsid w:val="009776C5"/>
    <w:rsid w:val="00984262"/>
    <w:rsid w:val="009860B8"/>
    <w:rsid w:val="00994B25"/>
    <w:rsid w:val="009C1CC0"/>
    <w:rsid w:val="009E153B"/>
    <w:rsid w:val="009F4D82"/>
    <w:rsid w:val="00A5375C"/>
    <w:rsid w:val="00A644ED"/>
    <w:rsid w:val="00A863F0"/>
    <w:rsid w:val="00A87845"/>
    <w:rsid w:val="00A92C76"/>
    <w:rsid w:val="00AA2C67"/>
    <w:rsid w:val="00AD03A4"/>
    <w:rsid w:val="00B04723"/>
    <w:rsid w:val="00B13D3F"/>
    <w:rsid w:val="00B1465D"/>
    <w:rsid w:val="00B20F2F"/>
    <w:rsid w:val="00B56893"/>
    <w:rsid w:val="00B75A4F"/>
    <w:rsid w:val="00B76791"/>
    <w:rsid w:val="00B77D58"/>
    <w:rsid w:val="00B82A6B"/>
    <w:rsid w:val="00BE4106"/>
    <w:rsid w:val="00C059DD"/>
    <w:rsid w:val="00C06BD0"/>
    <w:rsid w:val="00C110BB"/>
    <w:rsid w:val="00C1730E"/>
    <w:rsid w:val="00C247A4"/>
    <w:rsid w:val="00C363A3"/>
    <w:rsid w:val="00C76064"/>
    <w:rsid w:val="00CD15C1"/>
    <w:rsid w:val="00CF3A96"/>
    <w:rsid w:val="00D02258"/>
    <w:rsid w:val="00D05724"/>
    <w:rsid w:val="00D64362"/>
    <w:rsid w:val="00D8238B"/>
    <w:rsid w:val="00D904BC"/>
    <w:rsid w:val="00D95660"/>
    <w:rsid w:val="00DB18FB"/>
    <w:rsid w:val="00DC4424"/>
    <w:rsid w:val="00DC4C02"/>
    <w:rsid w:val="00DF1F03"/>
    <w:rsid w:val="00E03816"/>
    <w:rsid w:val="00E043EF"/>
    <w:rsid w:val="00E30CCC"/>
    <w:rsid w:val="00E31468"/>
    <w:rsid w:val="00E76519"/>
    <w:rsid w:val="00E80F4D"/>
    <w:rsid w:val="00E82263"/>
    <w:rsid w:val="00EB544A"/>
    <w:rsid w:val="00EC414E"/>
    <w:rsid w:val="00F73EFB"/>
    <w:rsid w:val="00F9043E"/>
    <w:rsid w:val="00FA4864"/>
    <w:rsid w:val="00FE0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CC0"/>
    <w:pPr>
      <w:ind w:left="720"/>
      <w:contextualSpacing/>
    </w:pPr>
  </w:style>
  <w:style w:type="character" w:styleId="PlaceholderText">
    <w:name w:val="Placeholder Text"/>
    <w:basedOn w:val="DefaultParagraphFont"/>
    <w:uiPriority w:val="99"/>
    <w:semiHidden/>
    <w:rsid w:val="009C1CC0"/>
    <w:rPr>
      <w:color w:val="808080"/>
    </w:rPr>
  </w:style>
  <w:style w:type="paragraph" w:styleId="BalloonText">
    <w:name w:val="Balloon Text"/>
    <w:basedOn w:val="Normal"/>
    <w:link w:val="BalloonTextChar"/>
    <w:uiPriority w:val="99"/>
    <w:semiHidden/>
    <w:unhideWhenUsed/>
    <w:rsid w:val="009C1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C0"/>
    <w:rPr>
      <w:rFonts w:ascii="Tahoma" w:hAnsi="Tahoma" w:cs="Tahoma"/>
      <w:sz w:val="16"/>
      <w:szCs w:val="16"/>
    </w:rPr>
  </w:style>
  <w:style w:type="table" w:styleId="TableGrid">
    <w:name w:val="Table Grid"/>
    <w:basedOn w:val="TableNormal"/>
    <w:uiPriority w:val="59"/>
    <w:rsid w:val="00DC4C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0424243">
      <w:bodyDiv w:val="1"/>
      <w:marLeft w:val="0"/>
      <w:marRight w:val="0"/>
      <w:marTop w:val="0"/>
      <w:marBottom w:val="0"/>
      <w:divBdr>
        <w:top w:val="none" w:sz="0" w:space="0" w:color="auto"/>
        <w:left w:val="none" w:sz="0" w:space="0" w:color="auto"/>
        <w:bottom w:val="none" w:sz="0" w:space="0" w:color="auto"/>
        <w:right w:val="none" w:sz="0" w:space="0" w:color="auto"/>
      </w:divBdr>
    </w:div>
    <w:div w:id="643853244">
      <w:bodyDiv w:val="1"/>
      <w:marLeft w:val="0"/>
      <w:marRight w:val="0"/>
      <w:marTop w:val="0"/>
      <w:marBottom w:val="0"/>
      <w:divBdr>
        <w:top w:val="none" w:sz="0" w:space="0" w:color="auto"/>
        <w:left w:val="none" w:sz="0" w:space="0" w:color="auto"/>
        <w:bottom w:val="none" w:sz="0" w:space="0" w:color="auto"/>
        <w:right w:val="none" w:sz="0" w:space="0" w:color="auto"/>
      </w:divBdr>
    </w:div>
    <w:div w:id="1115636463">
      <w:bodyDiv w:val="1"/>
      <w:marLeft w:val="0"/>
      <w:marRight w:val="0"/>
      <w:marTop w:val="0"/>
      <w:marBottom w:val="0"/>
      <w:divBdr>
        <w:top w:val="none" w:sz="0" w:space="0" w:color="auto"/>
        <w:left w:val="none" w:sz="0" w:space="0" w:color="auto"/>
        <w:bottom w:val="none" w:sz="0" w:space="0" w:color="auto"/>
        <w:right w:val="none" w:sz="0" w:space="0" w:color="auto"/>
      </w:divBdr>
    </w:div>
    <w:div w:id="1285967629">
      <w:bodyDiv w:val="1"/>
      <w:marLeft w:val="0"/>
      <w:marRight w:val="0"/>
      <w:marTop w:val="0"/>
      <w:marBottom w:val="0"/>
      <w:divBdr>
        <w:top w:val="none" w:sz="0" w:space="0" w:color="auto"/>
        <w:left w:val="none" w:sz="0" w:space="0" w:color="auto"/>
        <w:bottom w:val="none" w:sz="0" w:space="0" w:color="auto"/>
        <w:right w:val="none" w:sz="0" w:space="0" w:color="auto"/>
      </w:divBdr>
    </w:div>
    <w:div w:id="15136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49E8-265E-4AAE-841E-166AEDC9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13</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MKS-INZAH</dc:creator>
  <cp:lastModifiedBy>MKS-INZAH</cp:lastModifiedBy>
  <cp:revision>48</cp:revision>
  <dcterms:created xsi:type="dcterms:W3CDTF">2020-12-06T05:42:00Z</dcterms:created>
  <dcterms:modified xsi:type="dcterms:W3CDTF">2021-06-12T03:21:00Z</dcterms:modified>
</cp:coreProperties>
</file>