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CC" w:rsidRPr="004162CC" w:rsidRDefault="00FF2F39" w:rsidP="007A7620">
      <w:pPr>
        <w:spacing w:after="0" w:line="240" w:lineRule="auto"/>
        <w:jc w:val="center"/>
        <w:rPr>
          <w:rFonts w:ascii="Times New Roman" w:hAnsi="Times New Roman"/>
          <w:b/>
          <w:bCs/>
          <w:i/>
          <w:sz w:val="28"/>
          <w:szCs w:val="28"/>
        </w:rPr>
      </w:pPr>
      <w:r w:rsidRPr="00FF2F39">
        <w:rPr>
          <w:rFonts w:ascii="Times New Roman" w:hAnsi="Times New Roman"/>
          <w:b/>
          <w:bCs/>
          <w:i/>
          <w:sz w:val="28"/>
          <w:szCs w:val="28"/>
        </w:rPr>
        <w:t xml:space="preserve">Adsorption Kinetics Study </w:t>
      </w:r>
      <w:r>
        <w:rPr>
          <w:rFonts w:ascii="Times New Roman" w:hAnsi="Times New Roman"/>
          <w:b/>
          <w:bCs/>
          <w:i/>
          <w:sz w:val="28"/>
          <w:szCs w:val="28"/>
        </w:rPr>
        <w:t xml:space="preserve">of </w:t>
      </w:r>
      <w:proofErr w:type="gramStart"/>
      <w:r w:rsidRPr="00FF2F39">
        <w:rPr>
          <w:rFonts w:ascii="Times New Roman" w:hAnsi="Times New Roman"/>
          <w:b/>
          <w:bCs/>
          <w:i/>
          <w:sz w:val="28"/>
          <w:szCs w:val="28"/>
        </w:rPr>
        <w:t>Cu</w:t>
      </w:r>
      <w:r>
        <w:rPr>
          <w:rFonts w:ascii="Times New Roman" w:hAnsi="Times New Roman"/>
          <w:b/>
          <w:bCs/>
          <w:i/>
          <w:sz w:val="28"/>
          <w:szCs w:val="28"/>
        </w:rPr>
        <w:t>(</w:t>
      </w:r>
      <w:proofErr w:type="gramEnd"/>
      <w:r>
        <w:rPr>
          <w:rFonts w:ascii="Times New Roman" w:hAnsi="Times New Roman"/>
          <w:b/>
          <w:bCs/>
          <w:i/>
          <w:sz w:val="28"/>
          <w:szCs w:val="28"/>
        </w:rPr>
        <w:t>II) and Pb</w:t>
      </w:r>
      <w:r w:rsidRPr="00FF2F39">
        <w:rPr>
          <w:rFonts w:ascii="Times New Roman" w:hAnsi="Times New Roman"/>
          <w:b/>
          <w:bCs/>
          <w:i/>
          <w:sz w:val="28"/>
          <w:szCs w:val="28"/>
        </w:rPr>
        <w:t xml:space="preserve">(II) </w:t>
      </w:r>
      <w:r w:rsidRPr="00FF2F39">
        <w:rPr>
          <w:rFonts w:ascii="Times New Roman" w:hAnsi="Times New Roman"/>
          <w:b/>
          <w:bCs/>
          <w:i/>
          <w:sz w:val="28"/>
          <w:szCs w:val="28"/>
        </w:rPr>
        <w:t xml:space="preserve">Using Biosorbent from </w:t>
      </w:r>
      <w:r>
        <w:rPr>
          <w:rFonts w:ascii="Times New Roman" w:hAnsi="Times New Roman"/>
          <w:b/>
          <w:bCs/>
          <w:i/>
          <w:sz w:val="28"/>
          <w:szCs w:val="28"/>
        </w:rPr>
        <w:t>Nephelium</w:t>
      </w:r>
      <w:r w:rsidRPr="00FF2F39">
        <w:rPr>
          <w:rFonts w:ascii="Times New Roman" w:hAnsi="Times New Roman"/>
          <w:b/>
          <w:bCs/>
          <w:i/>
          <w:sz w:val="28"/>
          <w:szCs w:val="28"/>
        </w:rPr>
        <w:t xml:space="preserve"> Fruit </w:t>
      </w:r>
      <w:r>
        <w:rPr>
          <w:rFonts w:ascii="Times New Roman" w:hAnsi="Times New Roman"/>
          <w:b/>
          <w:bCs/>
          <w:i/>
          <w:sz w:val="28"/>
          <w:szCs w:val="28"/>
        </w:rPr>
        <w:t>Peel</w:t>
      </w:r>
      <w:r w:rsidRPr="00FF2F39">
        <w:rPr>
          <w:rFonts w:ascii="Times New Roman" w:hAnsi="Times New Roman"/>
          <w:b/>
          <w:bCs/>
          <w:i/>
          <w:sz w:val="28"/>
          <w:szCs w:val="28"/>
        </w:rPr>
        <w:t xml:space="preserve"> Extract Polymers</w:t>
      </w:r>
    </w:p>
    <w:p w:rsidR="004162CC" w:rsidRDefault="004162CC" w:rsidP="007A7620">
      <w:pPr>
        <w:spacing w:after="0" w:line="240" w:lineRule="auto"/>
        <w:jc w:val="center"/>
        <w:rPr>
          <w:rFonts w:ascii="Times New Roman" w:hAnsi="Times New Roman"/>
          <w:b/>
          <w:bCs/>
          <w:sz w:val="28"/>
          <w:szCs w:val="28"/>
        </w:rPr>
      </w:pPr>
    </w:p>
    <w:p w:rsidR="005E743F" w:rsidRPr="004162CC" w:rsidRDefault="00FF2F39" w:rsidP="007A7620">
      <w:pPr>
        <w:spacing w:after="0" w:line="240" w:lineRule="auto"/>
        <w:jc w:val="center"/>
        <w:rPr>
          <w:rFonts w:ascii="Times New Roman" w:hAnsi="Times New Roman"/>
          <w:b/>
          <w:bCs/>
          <w:sz w:val="28"/>
          <w:szCs w:val="28"/>
        </w:rPr>
      </w:pPr>
      <w:r w:rsidRPr="00FF2F39">
        <w:rPr>
          <w:rFonts w:ascii="Times New Roman" w:hAnsi="Times New Roman"/>
          <w:b/>
          <w:bCs/>
          <w:sz w:val="28"/>
          <w:szCs w:val="28"/>
        </w:rPr>
        <w:t xml:space="preserve">Studi Kinetika Adsorpsi </w:t>
      </w:r>
      <w:proofErr w:type="gramStart"/>
      <w:r w:rsidRPr="00FF2F39">
        <w:rPr>
          <w:rFonts w:ascii="Times New Roman" w:hAnsi="Times New Roman"/>
          <w:b/>
          <w:bCs/>
          <w:sz w:val="28"/>
          <w:szCs w:val="28"/>
        </w:rPr>
        <w:t>Cu(</w:t>
      </w:r>
      <w:proofErr w:type="gramEnd"/>
      <w:r w:rsidRPr="00FF2F39">
        <w:rPr>
          <w:rFonts w:ascii="Times New Roman" w:hAnsi="Times New Roman"/>
          <w:b/>
          <w:bCs/>
          <w:sz w:val="28"/>
          <w:szCs w:val="28"/>
        </w:rPr>
        <w:t>II) Dan Pb(II) dengan Menggunakan Biosorben dari Polimer Ekstrak Kulit Buah Rambutan</w:t>
      </w:r>
    </w:p>
    <w:p w:rsidR="005E743F" w:rsidRPr="005E743F" w:rsidRDefault="005E743F" w:rsidP="005E743F">
      <w:pPr>
        <w:spacing w:after="0"/>
        <w:jc w:val="center"/>
        <w:rPr>
          <w:rFonts w:ascii="Times New Roman" w:hAnsi="Times New Roman"/>
          <w:b/>
          <w:bCs/>
        </w:rPr>
      </w:pPr>
    </w:p>
    <w:p w:rsidR="005E743F" w:rsidRPr="007A7620" w:rsidRDefault="00FF2F39" w:rsidP="005E743F">
      <w:pPr>
        <w:spacing w:after="0"/>
        <w:contextualSpacing/>
        <w:jc w:val="center"/>
        <w:outlineLvl w:val="0"/>
        <w:rPr>
          <w:rFonts w:ascii="Times New Roman" w:hAnsi="Times New Roman"/>
          <w:b/>
          <w:sz w:val="24"/>
          <w:szCs w:val="24"/>
          <w:vertAlign w:val="superscript"/>
          <w:lang w:val="sv-SE"/>
        </w:rPr>
      </w:pPr>
      <w:r>
        <w:rPr>
          <w:rFonts w:ascii="Times New Roman" w:hAnsi="Times New Roman"/>
          <w:b/>
          <w:sz w:val="24"/>
          <w:szCs w:val="24"/>
          <w:lang w:val="sv-SE"/>
        </w:rPr>
        <w:t>Wahyu Fajar Winata</w:t>
      </w:r>
      <w:r w:rsidR="007A7620">
        <w:rPr>
          <w:rFonts w:ascii="Times New Roman" w:hAnsi="Times New Roman"/>
          <w:b/>
          <w:sz w:val="24"/>
          <w:szCs w:val="24"/>
          <w:vertAlign w:val="superscript"/>
          <w:lang w:val="sv-SE"/>
        </w:rPr>
        <w:t>a</w:t>
      </w:r>
      <w:r w:rsidR="00676AB6" w:rsidRPr="007A7620">
        <w:rPr>
          <w:rFonts w:ascii="Times New Roman" w:hAnsi="Times New Roman"/>
          <w:b/>
          <w:sz w:val="24"/>
          <w:szCs w:val="24"/>
          <w:vertAlign w:val="superscript"/>
          <w:lang w:val="sv-SE"/>
        </w:rPr>
        <w:t>,</w:t>
      </w:r>
      <w:r w:rsidR="00676AB6" w:rsidRPr="007A7620">
        <w:rPr>
          <w:rFonts w:ascii="Times New Roman" w:hAnsi="Times New Roman"/>
          <w:b/>
          <w:sz w:val="24"/>
          <w:szCs w:val="24"/>
          <w:lang w:val="sv-SE"/>
        </w:rPr>
        <w:t>*</w:t>
      </w:r>
      <w:r w:rsidR="005E743F" w:rsidRPr="007A7620">
        <w:rPr>
          <w:rFonts w:ascii="Times New Roman" w:hAnsi="Times New Roman"/>
          <w:b/>
          <w:sz w:val="24"/>
          <w:szCs w:val="24"/>
          <w:lang w:val="sv-SE"/>
        </w:rPr>
        <w:t>, I</w:t>
      </w:r>
      <w:r>
        <w:rPr>
          <w:rFonts w:ascii="Times New Roman" w:hAnsi="Times New Roman"/>
          <w:b/>
          <w:sz w:val="24"/>
          <w:szCs w:val="24"/>
          <w:lang w:val="sv-SE"/>
        </w:rPr>
        <w:t>ka Yanti</w:t>
      </w:r>
      <w:r w:rsidR="007A7620">
        <w:rPr>
          <w:rFonts w:ascii="Times New Roman" w:hAnsi="Times New Roman"/>
          <w:b/>
          <w:sz w:val="24"/>
          <w:szCs w:val="24"/>
          <w:vertAlign w:val="superscript"/>
          <w:lang w:val="sv-SE"/>
        </w:rPr>
        <w:t xml:space="preserve">b </w:t>
      </w:r>
    </w:p>
    <w:p w:rsidR="007A7620" w:rsidRPr="007A7620" w:rsidRDefault="007A7620" w:rsidP="005E743F">
      <w:pPr>
        <w:spacing w:after="0"/>
        <w:contextualSpacing/>
        <w:jc w:val="center"/>
        <w:outlineLvl w:val="0"/>
        <w:rPr>
          <w:rFonts w:ascii="Times New Roman" w:hAnsi="Times New Roman"/>
          <w:sz w:val="24"/>
          <w:szCs w:val="24"/>
          <w:lang w:val="sv-SE"/>
        </w:rPr>
      </w:pPr>
    </w:p>
    <w:p w:rsidR="00FF2F39" w:rsidRDefault="007A7620" w:rsidP="00512E4A">
      <w:pPr>
        <w:spacing w:after="0" w:line="240" w:lineRule="auto"/>
        <w:contextualSpacing/>
        <w:jc w:val="center"/>
        <w:outlineLvl w:val="0"/>
        <w:rPr>
          <w:rFonts w:ascii="Times New Roman" w:hAnsi="Times New Roman"/>
          <w:i/>
          <w:iCs/>
          <w:sz w:val="24"/>
          <w:szCs w:val="24"/>
          <w:lang w:val="sv-SE"/>
        </w:rPr>
      </w:pPr>
      <w:r>
        <w:rPr>
          <w:rFonts w:ascii="Times New Roman" w:hAnsi="Times New Roman"/>
          <w:i/>
          <w:iCs/>
          <w:sz w:val="24"/>
          <w:szCs w:val="24"/>
          <w:vertAlign w:val="superscript"/>
          <w:lang w:val="sv-SE"/>
        </w:rPr>
        <w:t>a</w:t>
      </w:r>
      <w:r w:rsidR="005E743F" w:rsidRPr="007A7620">
        <w:rPr>
          <w:rFonts w:ascii="Times New Roman" w:hAnsi="Times New Roman"/>
          <w:i/>
          <w:iCs/>
          <w:sz w:val="24"/>
          <w:szCs w:val="24"/>
          <w:lang w:val="sv-SE"/>
        </w:rPr>
        <w:t>P</w:t>
      </w:r>
      <w:r w:rsidR="00FF2F39" w:rsidRPr="00FF2F39">
        <w:rPr>
          <w:rFonts w:ascii="Times New Roman" w:hAnsi="Times New Roman"/>
          <w:i/>
          <w:iCs/>
          <w:sz w:val="24"/>
          <w:szCs w:val="24"/>
          <w:lang w:val="sv-SE"/>
        </w:rPr>
        <w:t xml:space="preserve">rogram Studi Teknologi Pengolahan Kulit, Politeknik ATK Yogyakarta </w:t>
      </w:r>
    </w:p>
    <w:p w:rsidR="005E743F" w:rsidRPr="00FF2F39" w:rsidRDefault="00FF2F39" w:rsidP="00FF2F39">
      <w:pPr>
        <w:spacing w:after="0" w:line="240" w:lineRule="auto"/>
        <w:contextualSpacing/>
        <w:jc w:val="center"/>
        <w:outlineLvl w:val="0"/>
        <w:rPr>
          <w:rFonts w:ascii="Times New Roman" w:hAnsi="Times New Roman"/>
          <w:i/>
          <w:iCs/>
          <w:sz w:val="24"/>
          <w:szCs w:val="24"/>
          <w:lang w:val="sv-SE"/>
        </w:rPr>
      </w:pPr>
      <w:r w:rsidRPr="00FF2F39">
        <w:rPr>
          <w:rFonts w:ascii="Times New Roman" w:hAnsi="Times New Roman"/>
          <w:i/>
          <w:iCs/>
          <w:sz w:val="24"/>
          <w:szCs w:val="24"/>
          <w:vertAlign w:val="superscript"/>
          <w:lang w:val="sv-SE"/>
        </w:rPr>
        <w:t>b</w:t>
      </w:r>
      <w:r>
        <w:rPr>
          <w:rFonts w:ascii="Times New Roman" w:hAnsi="Times New Roman"/>
          <w:i/>
          <w:iCs/>
          <w:sz w:val="24"/>
          <w:szCs w:val="24"/>
          <w:lang w:val="sv-SE"/>
        </w:rPr>
        <w:t>P</w:t>
      </w:r>
      <w:r w:rsidR="005E743F" w:rsidRPr="00FF2F39">
        <w:rPr>
          <w:rFonts w:ascii="Times New Roman" w:hAnsi="Times New Roman"/>
          <w:i/>
          <w:iCs/>
          <w:sz w:val="24"/>
          <w:szCs w:val="24"/>
          <w:lang w:val="sv-SE"/>
        </w:rPr>
        <w:t>rogram</w:t>
      </w:r>
      <w:r w:rsidR="005E743F" w:rsidRPr="007A7620">
        <w:rPr>
          <w:rFonts w:ascii="Times New Roman" w:hAnsi="Times New Roman"/>
          <w:i/>
          <w:iCs/>
          <w:sz w:val="24"/>
          <w:szCs w:val="24"/>
          <w:lang w:val="sv-SE"/>
        </w:rPr>
        <w:t xml:space="preserve"> Studi Kimia, </w:t>
      </w:r>
      <w:r w:rsidR="00E71B51">
        <w:rPr>
          <w:rFonts w:ascii="Times New Roman" w:hAnsi="Times New Roman"/>
          <w:i/>
          <w:iCs/>
          <w:sz w:val="24"/>
          <w:szCs w:val="24"/>
          <w:lang w:val="sv-SE"/>
        </w:rPr>
        <w:t xml:space="preserve">Jurusan Kimia, </w:t>
      </w:r>
      <w:r w:rsidR="005E743F" w:rsidRPr="007A7620">
        <w:rPr>
          <w:rFonts w:ascii="Times New Roman" w:hAnsi="Times New Roman"/>
          <w:i/>
          <w:iCs/>
          <w:sz w:val="24"/>
          <w:szCs w:val="24"/>
          <w:lang w:val="sv-SE"/>
        </w:rPr>
        <w:t>Fakutas MIPA, Universitas Islam Indonesia</w:t>
      </w:r>
    </w:p>
    <w:p w:rsidR="005E743F" w:rsidRPr="007A7620" w:rsidRDefault="00676AB6" w:rsidP="00512E4A">
      <w:pPr>
        <w:spacing w:after="0" w:line="240" w:lineRule="auto"/>
        <w:contextualSpacing/>
        <w:jc w:val="center"/>
        <w:outlineLvl w:val="0"/>
        <w:rPr>
          <w:rFonts w:ascii="Times New Roman" w:hAnsi="Times New Roman"/>
          <w:sz w:val="24"/>
          <w:szCs w:val="24"/>
          <w:lang w:val="sv-SE"/>
        </w:rPr>
      </w:pPr>
      <w:r w:rsidRPr="007A7620">
        <w:rPr>
          <w:rFonts w:ascii="Times New Roman" w:hAnsi="Times New Roman"/>
          <w:sz w:val="24"/>
          <w:szCs w:val="24"/>
          <w:lang w:val="sv-SE"/>
        </w:rPr>
        <w:t>*</w:t>
      </w:r>
      <w:r w:rsidR="00512E4A">
        <w:rPr>
          <w:rFonts w:ascii="Times New Roman" w:hAnsi="Times New Roman"/>
          <w:sz w:val="24"/>
          <w:szCs w:val="24"/>
          <w:lang w:val="sv-SE"/>
        </w:rPr>
        <w:t>Corresponding author</w:t>
      </w:r>
      <w:r w:rsidR="005E743F" w:rsidRPr="007A7620">
        <w:rPr>
          <w:rFonts w:ascii="Times New Roman" w:hAnsi="Times New Roman"/>
          <w:sz w:val="24"/>
          <w:szCs w:val="24"/>
          <w:lang w:val="sv-SE"/>
        </w:rPr>
        <w:t xml:space="preserve">: </w:t>
      </w:r>
      <w:r w:rsidR="00FF2F39">
        <w:rPr>
          <w:rFonts w:ascii="Times New Roman" w:hAnsi="Times New Roman"/>
          <w:sz w:val="24"/>
          <w:szCs w:val="24"/>
          <w:lang w:val="sv-SE"/>
        </w:rPr>
        <w:t>wahyufajarwinata88</w:t>
      </w:r>
      <w:r w:rsidR="005E743F" w:rsidRPr="007A7620">
        <w:rPr>
          <w:rFonts w:ascii="Times New Roman" w:hAnsi="Times New Roman"/>
          <w:sz w:val="24"/>
          <w:szCs w:val="24"/>
          <w:lang w:val="sv-SE"/>
        </w:rPr>
        <w:t>@gmail.com</w:t>
      </w:r>
    </w:p>
    <w:p w:rsidR="005E743F" w:rsidRPr="005E743F" w:rsidRDefault="005E743F" w:rsidP="003A1422">
      <w:pPr>
        <w:spacing w:after="0" w:line="240" w:lineRule="auto"/>
        <w:jc w:val="center"/>
        <w:rPr>
          <w:rFonts w:ascii="Times New Roman" w:eastAsia="MS Mincho" w:hAnsi="Times New Roman"/>
          <w:noProof/>
          <w:sz w:val="20"/>
          <w:szCs w:val="20"/>
          <w:vertAlign w:val="superscript"/>
        </w:rPr>
      </w:pPr>
    </w:p>
    <w:p w:rsidR="005E743F" w:rsidRPr="005E743F" w:rsidRDefault="005E743F" w:rsidP="003A1422">
      <w:pPr>
        <w:spacing w:after="0" w:line="240" w:lineRule="auto"/>
        <w:rPr>
          <w:rFonts w:ascii="Times New Roman" w:hAnsi="Times New Roman"/>
          <w:lang w:val="id-ID"/>
        </w:rPr>
      </w:pPr>
    </w:p>
    <w:p w:rsidR="005E743F" w:rsidRPr="00512E4A" w:rsidRDefault="00512E4A" w:rsidP="003A1422">
      <w:pPr>
        <w:spacing w:after="0" w:line="240" w:lineRule="auto"/>
        <w:jc w:val="center"/>
        <w:rPr>
          <w:rFonts w:ascii="Times New Roman" w:hAnsi="Times New Roman"/>
          <w:b/>
          <w:bCs/>
          <w:i/>
          <w:lang w:val="id-ID"/>
        </w:rPr>
      </w:pPr>
      <w:r w:rsidRPr="00512E4A">
        <w:rPr>
          <w:rFonts w:ascii="Times New Roman" w:hAnsi="Times New Roman"/>
          <w:b/>
          <w:bCs/>
          <w:i/>
          <w:lang w:val="id-ID"/>
        </w:rPr>
        <w:t>Abstract</w:t>
      </w:r>
    </w:p>
    <w:p w:rsidR="005E743F" w:rsidRPr="005E743F" w:rsidRDefault="005E743F" w:rsidP="003A1422">
      <w:pPr>
        <w:spacing w:after="0" w:line="240" w:lineRule="auto"/>
        <w:jc w:val="center"/>
        <w:rPr>
          <w:rFonts w:ascii="Times New Roman" w:hAnsi="Times New Roman"/>
          <w:lang w:val="id-ID"/>
        </w:rPr>
      </w:pPr>
    </w:p>
    <w:p w:rsidR="005E743F" w:rsidRDefault="00CC3D66" w:rsidP="003A1422">
      <w:pPr>
        <w:spacing w:after="0" w:line="240" w:lineRule="auto"/>
        <w:jc w:val="both"/>
        <w:rPr>
          <w:rFonts w:ascii="Times New Roman" w:hAnsi="Times New Roman"/>
          <w:i/>
        </w:rPr>
      </w:pPr>
      <w:r w:rsidRPr="00CC3D66">
        <w:rPr>
          <w:rFonts w:ascii="Times New Roman" w:hAnsi="Times New Roman"/>
          <w:i/>
        </w:rPr>
        <w:t xml:space="preserve">Recovery of </w:t>
      </w:r>
      <w:proofErr w:type="gramStart"/>
      <w:r w:rsidRPr="00CC3D66">
        <w:rPr>
          <w:rFonts w:ascii="Times New Roman" w:hAnsi="Times New Roman"/>
          <w:i/>
        </w:rPr>
        <w:t>Cu(</w:t>
      </w:r>
      <w:proofErr w:type="gramEnd"/>
      <w:r w:rsidRPr="00CC3D66">
        <w:rPr>
          <w:rFonts w:ascii="Times New Roman" w:hAnsi="Times New Roman"/>
          <w:i/>
        </w:rPr>
        <w:t xml:space="preserve">II) and Pb(II) which are mostly contained in industrial liquid waste, both large and home industries, have been carried out, one of them is by the adsorption process. This research was carried out kinetics study of adsorption of </w:t>
      </w:r>
      <w:proofErr w:type="gramStart"/>
      <w:r w:rsidRPr="00CC3D66">
        <w:rPr>
          <w:rFonts w:ascii="Times New Roman" w:hAnsi="Times New Roman"/>
          <w:i/>
        </w:rPr>
        <w:t>Cu(</w:t>
      </w:r>
      <w:proofErr w:type="gramEnd"/>
      <w:r w:rsidRPr="00CC3D66">
        <w:rPr>
          <w:rFonts w:ascii="Times New Roman" w:hAnsi="Times New Roman"/>
          <w:i/>
        </w:rPr>
        <w:t xml:space="preserve">II) and Pb(II) in liquid waste to determine the effectiveness of biosorbents from </w:t>
      </w:r>
      <w:r>
        <w:rPr>
          <w:rFonts w:ascii="Times New Roman" w:hAnsi="Times New Roman"/>
          <w:i/>
        </w:rPr>
        <w:t xml:space="preserve">Nephelium </w:t>
      </w:r>
      <w:r w:rsidRPr="00CC3D66">
        <w:rPr>
          <w:rFonts w:ascii="Times New Roman" w:hAnsi="Times New Roman"/>
          <w:i/>
        </w:rPr>
        <w:t xml:space="preserve">fruit peel extracts against liquid wastes containing Cu(II) and Pb(II). Determination of </w:t>
      </w:r>
      <w:proofErr w:type="gramStart"/>
      <w:r w:rsidRPr="00CC3D66">
        <w:rPr>
          <w:rFonts w:ascii="Times New Roman" w:hAnsi="Times New Roman"/>
          <w:i/>
        </w:rPr>
        <w:t>Cu(</w:t>
      </w:r>
      <w:proofErr w:type="gramEnd"/>
      <w:r w:rsidRPr="00CC3D66">
        <w:rPr>
          <w:rFonts w:ascii="Times New Roman" w:hAnsi="Times New Roman"/>
          <w:i/>
        </w:rPr>
        <w:t xml:space="preserve">II) and Pb(II) adsorption kinetics by using biosorbent from rambutan fruit peel extract was done through several kinetic models namely the Langmuir-Hinshelwood, Santosa, Lagergreen and Ho kinetics models. The </w:t>
      </w:r>
      <w:proofErr w:type="gramStart"/>
      <w:r w:rsidRPr="00CC3D66">
        <w:rPr>
          <w:rFonts w:ascii="Times New Roman" w:hAnsi="Times New Roman"/>
          <w:i/>
        </w:rPr>
        <w:t>Cu(</w:t>
      </w:r>
      <w:proofErr w:type="gramEnd"/>
      <w:r w:rsidRPr="00CC3D66">
        <w:rPr>
          <w:rFonts w:ascii="Times New Roman" w:hAnsi="Times New Roman"/>
          <w:i/>
        </w:rPr>
        <w:t>II) and Pb(II) adsorption kinetics all follow the Ho kinetics model, which is the  kinetics mechanism of pseudo-second order</w:t>
      </w:r>
      <w:r>
        <w:rPr>
          <w:rFonts w:ascii="Times New Roman" w:hAnsi="Times New Roman"/>
          <w:i/>
        </w:rPr>
        <w:t>.</w:t>
      </w:r>
    </w:p>
    <w:p w:rsidR="003A1422" w:rsidRPr="00512E4A" w:rsidRDefault="003A1422" w:rsidP="003A1422">
      <w:pPr>
        <w:spacing w:after="0" w:line="240" w:lineRule="auto"/>
        <w:jc w:val="both"/>
        <w:rPr>
          <w:rFonts w:ascii="Times New Roman" w:hAnsi="Times New Roman"/>
          <w:i/>
        </w:rPr>
      </w:pPr>
    </w:p>
    <w:p w:rsidR="005E743F" w:rsidRPr="005E743F" w:rsidRDefault="005E743F" w:rsidP="003A1422">
      <w:pPr>
        <w:spacing w:after="0" w:line="240" w:lineRule="auto"/>
        <w:jc w:val="both"/>
        <w:rPr>
          <w:rFonts w:ascii="Times New Roman" w:hAnsi="Times New Roman"/>
        </w:rPr>
      </w:pPr>
      <w:r w:rsidRPr="00512E4A">
        <w:rPr>
          <w:rFonts w:ascii="Times New Roman" w:hAnsi="Times New Roman"/>
          <w:b/>
          <w:bCs/>
          <w:i/>
        </w:rPr>
        <w:t>Keywords:</w:t>
      </w:r>
      <w:r w:rsidRPr="005E743F">
        <w:rPr>
          <w:rFonts w:ascii="Times New Roman" w:hAnsi="Times New Roman"/>
        </w:rPr>
        <w:t xml:space="preserve"> </w:t>
      </w:r>
      <w:r w:rsidR="00343010">
        <w:rPr>
          <w:rFonts w:ascii="Times New Roman" w:hAnsi="Times New Roman"/>
          <w:i/>
        </w:rPr>
        <w:t>k</w:t>
      </w:r>
      <w:r w:rsidR="00CC3D66">
        <w:rPr>
          <w:rFonts w:ascii="Times New Roman" w:hAnsi="Times New Roman"/>
          <w:i/>
        </w:rPr>
        <w:t>inetic, adsorption, biosorbent, polymer</w:t>
      </w:r>
    </w:p>
    <w:p w:rsidR="005E743F" w:rsidRPr="005E743F" w:rsidRDefault="005E743F" w:rsidP="003A1422">
      <w:pPr>
        <w:spacing w:after="0" w:line="240" w:lineRule="auto"/>
        <w:jc w:val="center"/>
        <w:rPr>
          <w:rFonts w:ascii="Times New Roman" w:hAnsi="Times New Roman"/>
          <w:b/>
          <w:bCs/>
        </w:rPr>
      </w:pPr>
    </w:p>
    <w:p w:rsidR="005E743F" w:rsidRPr="005E743F" w:rsidRDefault="00512E4A" w:rsidP="003A1422">
      <w:pPr>
        <w:spacing w:after="0" w:line="240" w:lineRule="auto"/>
        <w:jc w:val="center"/>
        <w:rPr>
          <w:rFonts w:ascii="Times New Roman" w:hAnsi="Times New Roman"/>
          <w:b/>
          <w:bCs/>
        </w:rPr>
      </w:pPr>
      <w:r w:rsidRPr="005E743F">
        <w:rPr>
          <w:rFonts w:ascii="Times New Roman" w:hAnsi="Times New Roman"/>
          <w:b/>
          <w:bCs/>
          <w:lang w:val="id-ID"/>
        </w:rPr>
        <w:t>Abstrak</w:t>
      </w:r>
    </w:p>
    <w:p w:rsidR="005E743F" w:rsidRPr="005E743F" w:rsidRDefault="005E743F" w:rsidP="003A1422">
      <w:pPr>
        <w:spacing w:after="0" w:line="240" w:lineRule="auto"/>
        <w:jc w:val="center"/>
        <w:rPr>
          <w:rFonts w:ascii="Times New Roman" w:hAnsi="Times New Roman"/>
          <w:b/>
          <w:bCs/>
        </w:rPr>
      </w:pPr>
    </w:p>
    <w:p w:rsidR="005E743F" w:rsidRPr="005E743F" w:rsidRDefault="00E715E5" w:rsidP="003A1422">
      <w:pPr>
        <w:spacing w:after="0" w:line="240" w:lineRule="auto"/>
        <w:jc w:val="both"/>
        <w:rPr>
          <w:rFonts w:ascii="Times New Roman" w:hAnsi="Times New Roman"/>
        </w:rPr>
      </w:pPr>
      <w:r w:rsidRPr="001C0D32">
        <w:rPr>
          <w:rFonts w:ascii="Times New Roman" w:hAnsi="Times New Roman"/>
          <w:i/>
        </w:rPr>
        <w:t>Recovery</w:t>
      </w:r>
      <w:r>
        <w:rPr>
          <w:rFonts w:ascii="Times New Roman" w:hAnsi="Times New Roman"/>
        </w:rPr>
        <w:t xml:space="preserve"> </w:t>
      </w:r>
      <w:proofErr w:type="gramStart"/>
      <w:r>
        <w:rPr>
          <w:rFonts w:ascii="Times New Roman" w:hAnsi="Times New Roman"/>
        </w:rPr>
        <w:t>Cu(</w:t>
      </w:r>
      <w:proofErr w:type="gramEnd"/>
      <w:r>
        <w:rPr>
          <w:rFonts w:ascii="Times New Roman" w:hAnsi="Times New Roman"/>
        </w:rPr>
        <w:t>II) dan Pb</w:t>
      </w:r>
      <w:r w:rsidRPr="00E715E5">
        <w:rPr>
          <w:rFonts w:ascii="Times New Roman" w:hAnsi="Times New Roman"/>
        </w:rPr>
        <w:t>(II) yang sebagian besar terkandung dalam limbah cair industri, baik ind</w:t>
      </w:r>
      <w:r>
        <w:rPr>
          <w:rFonts w:ascii="Times New Roman" w:hAnsi="Times New Roman"/>
        </w:rPr>
        <w:t>ustri besar maupun rumah tangga</w:t>
      </w:r>
      <w:r w:rsidRPr="00E715E5">
        <w:rPr>
          <w:rFonts w:ascii="Times New Roman" w:hAnsi="Times New Roman"/>
        </w:rPr>
        <w:t xml:space="preserve"> telah dilakukan, salah satunya adalah dengan proses adsorpsi. Penelitian ini dilak</w:t>
      </w:r>
      <w:r>
        <w:rPr>
          <w:rFonts w:ascii="Times New Roman" w:hAnsi="Times New Roman"/>
        </w:rPr>
        <w:t>ukan studi kinetika adsorpsi Cu(II) dan Pb</w:t>
      </w:r>
      <w:r w:rsidRPr="00E715E5">
        <w:rPr>
          <w:rFonts w:ascii="Times New Roman" w:hAnsi="Times New Roman"/>
        </w:rPr>
        <w:t>(II) dalam limbah cair untuk mengetahui efektivitas biosorben dari ekstrak kulit buah rambutan terhadap limbah cair yang mengandung Cu(II) dan Pb(II).</w:t>
      </w:r>
      <w:r w:rsidR="00B26A75">
        <w:rPr>
          <w:rFonts w:ascii="Times New Roman" w:hAnsi="Times New Roman"/>
        </w:rPr>
        <w:t xml:space="preserve"> Penentuan kinetika adsorpsi Cu(II) dan Pb</w:t>
      </w:r>
      <w:r w:rsidRPr="00E715E5">
        <w:rPr>
          <w:rFonts w:ascii="Times New Roman" w:hAnsi="Times New Roman"/>
        </w:rPr>
        <w:t>(II) dengan menggunakan biosorben dari ekstrak kulit buah rambutan dilakukan melalui beberapa model kinetik</w:t>
      </w:r>
      <w:r w:rsidR="00B26A75">
        <w:rPr>
          <w:rFonts w:ascii="Times New Roman" w:hAnsi="Times New Roman"/>
        </w:rPr>
        <w:t>a</w:t>
      </w:r>
      <w:r w:rsidRPr="00E715E5">
        <w:rPr>
          <w:rFonts w:ascii="Times New Roman" w:hAnsi="Times New Roman"/>
        </w:rPr>
        <w:t xml:space="preserve"> yaitu model kinetika Langmuir-Hinshelwood, Santosa, Lagergre</w:t>
      </w:r>
      <w:r w:rsidR="00B26A75">
        <w:rPr>
          <w:rFonts w:ascii="Times New Roman" w:hAnsi="Times New Roman"/>
        </w:rPr>
        <w:t>en dan Ho. Kinetika adsorpsi Cu</w:t>
      </w:r>
      <w:r w:rsidRPr="00E715E5">
        <w:rPr>
          <w:rFonts w:ascii="Times New Roman" w:hAnsi="Times New Roman"/>
        </w:rPr>
        <w:t xml:space="preserve">(II) dan Pb(II) semuanya mengikuti model </w:t>
      </w:r>
      <w:r w:rsidR="00B26A75">
        <w:rPr>
          <w:rFonts w:ascii="Times New Roman" w:hAnsi="Times New Roman"/>
        </w:rPr>
        <w:t xml:space="preserve">kinetika </w:t>
      </w:r>
      <w:r w:rsidRPr="00E715E5">
        <w:rPr>
          <w:rFonts w:ascii="Times New Roman" w:hAnsi="Times New Roman"/>
        </w:rPr>
        <w:t>Ho, yang mer</w:t>
      </w:r>
      <w:r w:rsidR="00B26A75">
        <w:rPr>
          <w:rFonts w:ascii="Times New Roman" w:hAnsi="Times New Roman"/>
        </w:rPr>
        <w:t xml:space="preserve">upakan mekanisme kinetika orde </w:t>
      </w:r>
      <w:r w:rsidRPr="00E715E5">
        <w:rPr>
          <w:rFonts w:ascii="Times New Roman" w:hAnsi="Times New Roman"/>
        </w:rPr>
        <w:t>dua semu</w:t>
      </w:r>
      <w:r w:rsidR="005E743F" w:rsidRPr="00676AB6">
        <w:rPr>
          <w:rFonts w:ascii="Times New Roman" w:hAnsi="Times New Roman"/>
        </w:rPr>
        <w:t>.</w:t>
      </w:r>
    </w:p>
    <w:p w:rsidR="005E743F" w:rsidRPr="005E743F" w:rsidRDefault="005E743F" w:rsidP="003A1422">
      <w:pPr>
        <w:spacing w:after="0" w:line="240" w:lineRule="auto"/>
        <w:ind w:firstLine="720"/>
        <w:jc w:val="both"/>
        <w:rPr>
          <w:rFonts w:ascii="Times New Roman" w:hAnsi="Times New Roman"/>
          <w:sz w:val="24"/>
          <w:szCs w:val="24"/>
        </w:rPr>
      </w:pPr>
    </w:p>
    <w:p w:rsidR="005E743F" w:rsidRPr="00E71B51" w:rsidRDefault="005E743F" w:rsidP="003A1422">
      <w:pPr>
        <w:spacing w:after="0" w:line="240" w:lineRule="auto"/>
        <w:jc w:val="both"/>
        <w:rPr>
          <w:rFonts w:ascii="Times New Roman" w:hAnsi="Times New Roman"/>
          <w:sz w:val="20"/>
        </w:rPr>
      </w:pPr>
      <w:r w:rsidRPr="00E71B51">
        <w:rPr>
          <w:rFonts w:ascii="Times New Roman" w:hAnsi="Times New Roman"/>
          <w:b/>
          <w:bCs/>
          <w:szCs w:val="24"/>
        </w:rPr>
        <w:t>Kata kunci:</w:t>
      </w:r>
      <w:r w:rsidRPr="00E71B51">
        <w:rPr>
          <w:rFonts w:ascii="Times New Roman" w:hAnsi="Times New Roman"/>
          <w:szCs w:val="24"/>
        </w:rPr>
        <w:t xml:space="preserve"> </w:t>
      </w:r>
      <w:r w:rsidR="00343010" w:rsidRPr="00E71B51">
        <w:rPr>
          <w:rFonts w:ascii="Times New Roman" w:hAnsi="Times New Roman"/>
          <w:szCs w:val="24"/>
        </w:rPr>
        <w:t>kinetika, adsorpsi, biosorben, polimer</w:t>
      </w:r>
      <w:r w:rsidRPr="00E71B51">
        <w:rPr>
          <w:rFonts w:ascii="Times New Roman" w:hAnsi="Times New Roman"/>
          <w:sz w:val="20"/>
        </w:rPr>
        <w:t xml:space="preserve"> </w:t>
      </w:r>
    </w:p>
    <w:p w:rsidR="0021077C" w:rsidRPr="00E71B51" w:rsidRDefault="0021077C" w:rsidP="00AF2826">
      <w:pPr>
        <w:spacing w:line="240" w:lineRule="auto"/>
        <w:jc w:val="both"/>
        <w:rPr>
          <w:rFonts w:ascii="Times New Roman" w:hAnsi="Times New Roman"/>
          <w:color w:val="2A2A2A"/>
          <w:szCs w:val="24"/>
          <w:shd w:val="clear" w:color="auto" w:fill="FFFFFF"/>
        </w:rPr>
        <w:sectPr w:rsidR="0021077C" w:rsidRPr="00E71B51" w:rsidSect="005E743F">
          <w:pgSz w:w="11907" w:h="16839" w:code="9"/>
          <w:pgMar w:top="1440" w:right="1440" w:bottom="1440" w:left="1440" w:header="720" w:footer="720" w:gutter="0"/>
          <w:cols w:space="720"/>
          <w:docGrid w:linePitch="360"/>
        </w:sectPr>
      </w:pPr>
    </w:p>
    <w:p w:rsidR="0021077C" w:rsidRPr="000D3C6D" w:rsidRDefault="000D3C6D" w:rsidP="00164FE6">
      <w:pPr>
        <w:spacing w:after="0" w:line="360" w:lineRule="auto"/>
        <w:jc w:val="both"/>
        <w:rPr>
          <w:rFonts w:ascii="Times New Roman" w:hAnsi="Times New Roman"/>
          <w:b/>
          <w:color w:val="2A2A2A"/>
          <w:sz w:val="24"/>
          <w:szCs w:val="24"/>
          <w:shd w:val="clear" w:color="auto" w:fill="FFFFFF"/>
          <w:lang w:val="id-ID"/>
        </w:rPr>
      </w:pPr>
      <w:r>
        <w:rPr>
          <w:rFonts w:ascii="Times New Roman" w:hAnsi="Times New Roman"/>
          <w:b/>
          <w:color w:val="2A2A2A"/>
          <w:sz w:val="24"/>
          <w:szCs w:val="24"/>
          <w:shd w:val="clear" w:color="auto" w:fill="FFFFFF"/>
          <w:lang w:val="id-ID"/>
        </w:rPr>
        <w:lastRenderedPageBreak/>
        <w:t>Pendahuluan</w:t>
      </w:r>
    </w:p>
    <w:p w:rsidR="0063014E" w:rsidRPr="0063014E" w:rsidRDefault="00F720E5" w:rsidP="00164FE6">
      <w:pPr>
        <w:spacing w:after="0" w:line="360" w:lineRule="auto"/>
        <w:ind w:firstLine="720"/>
        <w:jc w:val="both"/>
        <w:rPr>
          <w:rFonts w:ascii="Times New Roman" w:hAnsi="Times New Roman"/>
          <w:sz w:val="24"/>
          <w:szCs w:val="24"/>
        </w:rPr>
      </w:pPr>
      <w:r w:rsidRPr="0063014E">
        <w:rPr>
          <w:rFonts w:ascii="Times New Roman" w:hAnsi="Times New Roman"/>
          <w:sz w:val="24"/>
          <w:szCs w:val="24"/>
        </w:rPr>
        <w:t xml:space="preserve">Proses adsorpsi merupakan metode yang sudah lama diketahui dan menjadi salah satu metode </w:t>
      </w:r>
      <w:r w:rsidRPr="0063014E">
        <w:rPr>
          <w:rFonts w:ascii="Times New Roman" w:hAnsi="Times New Roman"/>
          <w:i/>
          <w:sz w:val="24"/>
          <w:szCs w:val="24"/>
        </w:rPr>
        <w:t>recovery</w:t>
      </w:r>
      <w:r w:rsidRPr="0063014E">
        <w:rPr>
          <w:rFonts w:ascii="Times New Roman" w:hAnsi="Times New Roman"/>
          <w:sz w:val="24"/>
          <w:szCs w:val="24"/>
        </w:rPr>
        <w:t xml:space="preserve"> limbah khususnya limbah logam dalam perairan. Metode ini terkenal dengan prosesnya yang mudah murah serta sederhana. Metode l</w:t>
      </w:r>
      <w:r w:rsidR="00454EFE" w:rsidRPr="0063014E">
        <w:rPr>
          <w:rFonts w:ascii="Times New Roman" w:hAnsi="Times New Roman"/>
          <w:sz w:val="24"/>
          <w:szCs w:val="24"/>
        </w:rPr>
        <w:t>ainnya yang sudah pernah dilaku</w:t>
      </w:r>
      <w:r w:rsidRPr="0063014E">
        <w:rPr>
          <w:rFonts w:ascii="Times New Roman" w:hAnsi="Times New Roman"/>
          <w:sz w:val="24"/>
          <w:szCs w:val="24"/>
        </w:rPr>
        <w:t>k</w:t>
      </w:r>
      <w:r w:rsidR="00454EFE" w:rsidRPr="0063014E">
        <w:rPr>
          <w:rFonts w:ascii="Times New Roman" w:hAnsi="Times New Roman"/>
          <w:sz w:val="24"/>
          <w:szCs w:val="24"/>
        </w:rPr>
        <w:t>a</w:t>
      </w:r>
      <w:r w:rsidRPr="0063014E">
        <w:rPr>
          <w:rFonts w:ascii="Times New Roman" w:hAnsi="Times New Roman"/>
          <w:sz w:val="24"/>
          <w:szCs w:val="24"/>
        </w:rPr>
        <w:t>n sebagai cara untuk me</w:t>
      </w:r>
      <w:r w:rsidR="00454EFE" w:rsidRPr="0063014E">
        <w:rPr>
          <w:rFonts w:ascii="Times New Roman" w:hAnsi="Times New Roman"/>
          <w:sz w:val="24"/>
          <w:szCs w:val="24"/>
        </w:rPr>
        <w:t>ngambil</w:t>
      </w:r>
      <w:r w:rsidRPr="0063014E">
        <w:rPr>
          <w:rFonts w:ascii="Times New Roman" w:hAnsi="Times New Roman"/>
          <w:sz w:val="24"/>
          <w:szCs w:val="24"/>
        </w:rPr>
        <w:t xml:space="preserve"> limbah ion logam d</w:t>
      </w:r>
      <w:r w:rsidR="00A7392F" w:rsidRPr="0063014E">
        <w:rPr>
          <w:rFonts w:ascii="Times New Roman" w:hAnsi="Times New Roman"/>
          <w:sz w:val="24"/>
          <w:szCs w:val="24"/>
        </w:rPr>
        <w:t>alam perairan adalah reduksi (Li dkk., 2017)</w:t>
      </w:r>
      <w:r w:rsidRPr="0063014E">
        <w:rPr>
          <w:rFonts w:ascii="Times New Roman" w:hAnsi="Times New Roman"/>
          <w:sz w:val="24"/>
          <w:szCs w:val="24"/>
        </w:rPr>
        <w:t xml:space="preserve">, eksraksi </w:t>
      </w:r>
      <w:r w:rsidR="00A7392F" w:rsidRPr="0063014E">
        <w:rPr>
          <w:rFonts w:ascii="Times New Roman" w:hAnsi="Times New Roman"/>
          <w:sz w:val="24"/>
          <w:szCs w:val="24"/>
        </w:rPr>
        <w:t>(</w:t>
      </w:r>
      <w:r w:rsidR="00A7392F" w:rsidRPr="0063014E">
        <w:rPr>
          <w:rFonts w:ascii="Times New Roman" w:hAnsi="Times New Roman"/>
          <w:color w:val="000000"/>
          <w:sz w:val="24"/>
          <w:szCs w:val="24"/>
        </w:rPr>
        <w:t>Tawinteung</w:t>
      </w:r>
      <w:r w:rsidR="00A7392F" w:rsidRPr="0063014E">
        <w:rPr>
          <w:rFonts w:ascii="Times New Roman" w:hAnsi="Times New Roman"/>
          <w:sz w:val="24"/>
          <w:szCs w:val="24"/>
        </w:rPr>
        <w:t xml:space="preserve"> dkk., 2005)</w:t>
      </w:r>
      <w:r w:rsidRPr="0063014E">
        <w:rPr>
          <w:rFonts w:ascii="Times New Roman" w:hAnsi="Times New Roman"/>
          <w:sz w:val="24"/>
          <w:szCs w:val="24"/>
        </w:rPr>
        <w:t xml:space="preserve">, </w:t>
      </w:r>
      <w:r w:rsidRPr="0063014E">
        <w:rPr>
          <w:rFonts w:ascii="Times New Roman" w:hAnsi="Times New Roman"/>
          <w:i/>
          <w:sz w:val="24"/>
          <w:szCs w:val="24"/>
        </w:rPr>
        <w:t>ion exchange</w:t>
      </w:r>
      <w:r w:rsidRPr="0063014E">
        <w:rPr>
          <w:rFonts w:ascii="Times New Roman" w:hAnsi="Times New Roman"/>
          <w:sz w:val="24"/>
          <w:szCs w:val="24"/>
        </w:rPr>
        <w:t xml:space="preserve"> </w:t>
      </w:r>
      <w:r w:rsidR="0007451E" w:rsidRPr="0063014E">
        <w:rPr>
          <w:rFonts w:ascii="Times New Roman" w:hAnsi="Times New Roman"/>
          <w:sz w:val="24"/>
          <w:szCs w:val="24"/>
        </w:rPr>
        <w:t>(</w:t>
      </w:r>
      <w:r w:rsidR="00AB4E4A">
        <w:rPr>
          <w:rFonts w:ascii="Times New Roman" w:hAnsi="Times New Roman"/>
          <w:color w:val="000000"/>
          <w:sz w:val="24"/>
          <w:szCs w:val="24"/>
        </w:rPr>
        <w:t>Jr</w:t>
      </w:r>
      <w:r w:rsidR="0007451E" w:rsidRPr="0063014E">
        <w:rPr>
          <w:rFonts w:ascii="Times New Roman" w:hAnsi="Times New Roman"/>
          <w:sz w:val="24"/>
          <w:szCs w:val="24"/>
        </w:rPr>
        <w:t xml:space="preserve"> dkk., 2013),</w:t>
      </w:r>
      <w:r w:rsidRPr="0063014E">
        <w:rPr>
          <w:rFonts w:ascii="Times New Roman" w:hAnsi="Times New Roman"/>
          <w:sz w:val="24"/>
          <w:szCs w:val="24"/>
        </w:rPr>
        <w:t xml:space="preserve"> precipitasi </w:t>
      </w:r>
      <w:r w:rsidR="0007451E" w:rsidRPr="0063014E">
        <w:rPr>
          <w:rFonts w:ascii="Times New Roman" w:hAnsi="Times New Roman"/>
          <w:sz w:val="24"/>
          <w:szCs w:val="24"/>
        </w:rPr>
        <w:t>(</w:t>
      </w:r>
      <w:r w:rsidR="0007451E" w:rsidRPr="0063014E">
        <w:rPr>
          <w:rFonts w:ascii="Times New Roman" w:hAnsi="Times New Roman"/>
          <w:color w:val="000000"/>
          <w:sz w:val="24"/>
          <w:szCs w:val="24"/>
        </w:rPr>
        <w:t>Kavak</w:t>
      </w:r>
      <w:r w:rsidR="0007451E" w:rsidRPr="0063014E">
        <w:rPr>
          <w:rFonts w:ascii="Times New Roman" w:hAnsi="Times New Roman"/>
          <w:sz w:val="24"/>
          <w:szCs w:val="24"/>
        </w:rPr>
        <w:t xml:space="preserve"> , 2012)</w:t>
      </w:r>
      <w:r w:rsidRPr="0063014E">
        <w:rPr>
          <w:rFonts w:ascii="Times New Roman" w:hAnsi="Times New Roman"/>
          <w:sz w:val="24"/>
          <w:szCs w:val="24"/>
        </w:rPr>
        <w:t xml:space="preserve">, dan pemisahan dengan membran </w:t>
      </w:r>
      <w:r w:rsidR="002C0E1B" w:rsidRPr="0063014E">
        <w:rPr>
          <w:rFonts w:ascii="Times New Roman" w:hAnsi="Times New Roman"/>
          <w:sz w:val="24"/>
          <w:szCs w:val="24"/>
        </w:rPr>
        <w:t xml:space="preserve">(Melita dan Popescu, 2008; Limousin dkk., 2007; Hayati dkk., 2017; Höhener </w:t>
      </w:r>
      <w:r w:rsidR="008E34EA">
        <w:rPr>
          <w:rFonts w:ascii="Times New Roman" w:hAnsi="Times New Roman"/>
          <w:sz w:val="24"/>
          <w:szCs w:val="24"/>
        </w:rPr>
        <w:t>dan Yu</w:t>
      </w:r>
      <w:r w:rsidR="002C0E1B" w:rsidRPr="0063014E">
        <w:rPr>
          <w:rFonts w:ascii="Times New Roman" w:hAnsi="Times New Roman"/>
          <w:sz w:val="24"/>
          <w:szCs w:val="24"/>
        </w:rPr>
        <w:t>, 2012; Hayati dkk., 2012).</w:t>
      </w:r>
      <w:r w:rsidRPr="0063014E">
        <w:rPr>
          <w:rFonts w:ascii="Times New Roman" w:hAnsi="Times New Roman"/>
          <w:sz w:val="24"/>
          <w:szCs w:val="24"/>
        </w:rPr>
        <w:t xml:space="preserve"> Dari berbagai metode tersebut, metode adsorpsi lebih disukai karena proses yang cukup mudah dan dapat menggunakan material lain sebagai adsorbennya. Proses adsorpsi melibatkan interaksi adsorbat dengan permukaan adsorben baik interaksi secara fisika maupun kimia. Adsorben merupakan material yang mampu mengadsorpsi suatu senyawa atau molekul pada permukaan adsorbent maupun masuk ke dalam </w:t>
      </w:r>
      <w:proofErr w:type="gramStart"/>
      <w:r w:rsidRPr="0063014E">
        <w:rPr>
          <w:rFonts w:ascii="Times New Roman" w:hAnsi="Times New Roman"/>
          <w:sz w:val="24"/>
          <w:szCs w:val="24"/>
        </w:rPr>
        <w:t>pori</w:t>
      </w:r>
      <w:proofErr w:type="gramEnd"/>
      <w:r w:rsidRPr="0063014E">
        <w:rPr>
          <w:rFonts w:ascii="Times New Roman" w:hAnsi="Times New Roman"/>
          <w:sz w:val="24"/>
          <w:szCs w:val="24"/>
        </w:rPr>
        <w:t xml:space="preserve"> adsorben jika adsorben tersebut merupakan material berpori. Adsorbat adalah senyawa atau molekul yang </w:t>
      </w:r>
      <w:proofErr w:type="gramStart"/>
      <w:r w:rsidRPr="0063014E">
        <w:rPr>
          <w:rFonts w:ascii="Times New Roman" w:hAnsi="Times New Roman"/>
          <w:sz w:val="24"/>
          <w:szCs w:val="24"/>
        </w:rPr>
        <w:t>akan</w:t>
      </w:r>
      <w:proofErr w:type="gramEnd"/>
      <w:r w:rsidRPr="0063014E">
        <w:rPr>
          <w:rFonts w:ascii="Times New Roman" w:hAnsi="Times New Roman"/>
          <w:sz w:val="24"/>
          <w:szCs w:val="24"/>
        </w:rPr>
        <w:t xml:space="preserve"> diadsorpsi oleh adsorben baik dipermukaan maupun yang masuk ke dalam pori adsorben. </w:t>
      </w:r>
    </w:p>
    <w:p w:rsidR="00F720E5" w:rsidRPr="0063014E" w:rsidRDefault="00F720E5" w:rsidP="00164FE6">
      <w:pPr>
        <w:spacing w:after="0" w:line="360" w:lineRule="auto"/>
        <w:ind w:firstLine="720"/>
        <w:jc w:val="both"/>
        <w:rPr>
          <w:rFonts w:ascii="Times New Roman" w:hAnsi="Times New Roman"/>
          <w:sz w:val="24"/>
          <w:szCs w:val="24"/>
        </w:rPr>
      </w:pPr>
      <w:r w:rsidRPr="0063014E">
        <w:rPr>
          <w:rFonts w:ascii="Times New Roman" w:hAnsi="Times New Roman"/>
          <w:sz w:val="24"/>
          <w:szCs w:val="24"/>
        </w:rPr>
        <w:t>Penelitian menge</w:t>
      </w:r>
      <w:r w:rsidR="0063014E" w:rsidRPr="0063014E">
        <w:rPr>
          <w:rFonts w:ascii="Times New Roman" w:hAnsi="Times New Roman"/>
          <w:sz w:val="24"/>
          <w:szCs w:val="24"/>
        </w:rPr>
        <w:t xml:space="preserve">nai pemanfaatan adsorben dalam </w:t>
      </w:r>
      <w:r w:rsidRPr="0063014E">
        <w:rPr>
          <w:rFonts w:ascii="Times New Roman" w:hAnsi="Times New Roman"/>
          <w:sz w:val="24"/>
          <w:szCs w:val="24"/>
        </w:rPr>
        <w:t>m</w:t>
      </w:r>
      <w:r w:rsidR="0063014E" w:rsidRPr="0063014E">
        <w:rPr>
          <w:rFonts w:ascii="Times New Roman" w:hAnsi="Times New Roman"/>
          <w:sz w:val="24"/>
          <w:szCs w:val="24"/>
        </w:rPr>
        <w:t>e</w:t>
      </w:r>
      <w:r w:rsidRPr="0063014E">
        <w:rPr>
          <w:rFonts w:ascii="Times New Roman" w:hAnsi="Times New Roman"/>
          <w:sz w:val="24"/>
          <w:szCs w:val="24"/>
        </w:rPr>
        <w:t>n</w:t>
      </w:r>
      <w:r w:rsidR="0063014E" w:rsidRPr="0063014E">
        <w:rPr>
          <w:rFonts w:ascii="Times New Roman" w:hAnsi="Times New Roman"/>
          <w:sz w:val="24"/>
          <w:szCs w:val="24"/>
        </w:rPr>
        <w:t xml:space="preserve">angani suatu limbah </w:t>
      </w:r>
      <w:r w:rsidR="0063014E" w:rsidRPr="0063014E">
        <w:rPr>
          <w:rFonts w:ascii="Times New Roman" w:hAnsi="Times New Roman"/>
          <w:sz w:val="24"/>
          <w:szCs w:val="24"/>
        </w:rPr>
        <w:lastRenderedPageBreak/>
        <w:t>baik organik</w:t>
      </w:r>
      <w:r w:rsidRPr="0063014E">
        <w:rPr>
          <w:rFonts w:ascii="Times New Roman" w:hAnsi="Times New Roman"/>
          <w:sz w:val="24"/>
          <w:szCs w:val="24"/>
        </w:rPr>
        <w:t xml:space="preserve"> maupun anorganik telah banyak dilakukan. Adsorben dalam proses recovery ion logam dalam pe</w:t>
      </w:r>
      <w:r w:rsidR="00C0726C">
        <w:rPr>
          <w:rFonts w:ascii="Times New Roman" w:hAnsi="Times New Roman"/>
          <w:sz w:val="24"/>
          <w:szCs w:val="24"/>
        </w:rPr>
        <w:t>rairan (larutan) seperti zeolit</w:t>
      </w:r>
      <w:r w:rsidRPr="0063014E">
        <w:rPr>
          <w:rFonts w:ascii="Times New Roman" w:hAnsi="Times New Roman"/>
          <w:sz w:val="24"/>
          <w:szCs w:val="24"/>
        </w:rPr>
        <w:t xml:space="preserve">, </w:t>
      </w:r>
      <w:r w:rsidRPr="00C0726C">
        <w:rPr>
          <w:rFonts w:ascii="Times New Roman" w:hAnsi="Times New Roman"/>
          <w:i/>
          <w:sz w:val="24"/>
          <w:szCs w:val="24"/>
        </w:rPr>
        <w:t>clay</w:t>
      </w:r>
      <w:r w:rsidRPr="0063014E">
        <w:rPr>
          <w:rFonts w:ascii="Times New Roman" w:hAnsi="Times New Roman"/>
          <w:sz w:val="24"/>
          <w:szCs w:val="24"/>
        </w:rPr>
        <w:t xml:space="preserve">, carbon </w:t>
      </w:r>
      <w:r w:rsidR="0004581C" w:rsidRPr="0063014E">
        <w:rPr>
          <w:rFonts w:ascii="Times New Roman" w:hAnsi="Times New Roman"/>
          <w:sz w:val="24"/>
          <w:szCs w:val="24"/>
        </w:rPr>
        <w:t>(</w:t>
      </w:r>
      <w:r w:rsidR="0004581C" w:rsidRPr="0063014E">
        <w:rPr>
          <w:rFonts w:ascii="Times New Roman" w:hAnsi="Times New Roman"/>
          <w:color w:val="000000"/>
          <w:sz w:val="24"/>
          <w:szCs w:val="24"/>
        </w:rPr>
        <w:t>Gupta dan</w:t>
      </w:r>
      <w:r w:rsidR="0004581C" w:rsidRPr="0063014E">
        <w:rPr>
          <w:rFonts w:ascii="Times New Roman" w:hAnsi="Times New Roman"/>
          <w:color w:val="000000"/>
          <w:sz w:val="24"/>
          <w:szCs w:val="24"/>
        </w:rPr>
        <w:t xml:space="preserve"> Suhas</w:t>
      </w:r>
      <w:r w:rsidR="0004581C" w:rsidRPr="0063014E">
        <w:rPr>
          <w:rFonts w:ascii="Times New Roman" w:hAnsi="Times New Roman"/>
          <w:sz w:val="24"/>
          <w:szCs w:val="24"/>
        </w:rPr>
        <w:t>, 2009)</w:t>
      </w:r>
      <w:r w:rsidRPr="0063014E">
        <w:rPr>
          <w:rFonts w:ascii="Times New Roman" w:hAnsi="Times New Roman"/>
          <w:sz w:val="24"/>
          <w:szCs w:val="24"/>
        </w:rPr>
        <w:t xml:space="preserve">, </w:t>
      </w:r>
      <w:r w:rsidRPr="00C0726C">
        <w:rPr>
          <w:rFonts w:ascii="Times New Roman" w:hAnsi="Times New Roman"/>
          <w:i/>
          <w:sz w:val="24"/>
          <w:szCs w:val="24"/>
        </w:rPr>
        <w:t>biochar</w:t>
      </w:r>
      <w:r w:rsidRPr="0063014E">
        <w:rPr>
          <w:rFonts w:ascii="Times New Roman" w:hAnsi="Times New Roman"/>
          <w:sz w:val="24"/>
          <w:szCs w:val="24"/>
        </w:rPr>
        <w:t xml:space="preserve">, biomassa </w:t>
      </w:r>
      <w:r w:rsidR="00C8301C" w:rsidRPr="0063014E">
        <w:rPr>
          <w:rFonts w:ascii="Times New Roman" w:hAnsi="Times New Roman"/>
          <w:sz w:val="24"/>
          <w:szCs w:val="24"/>
        </w:rPr>
        <w:t>(Asuquo</w:t>
      </w:r>
      <w:r w:rsidR="007545C0" w:rsidRPr="0063014E">
        <w:rPr>
          <w:rFonts w:ascii="Times New Roman" w:hAnsi="Times New Roman"/>
          <w:sz w:val="24"/>
          <w:szCs w:val="24"/>
        </w:rPr>
        <w:t xml:space="preserve"> </w:t>
      </w:r>
      <w:proofErr w:type="gramStart"/>
      <w:r w:rsidR="007545C0" w:rsidRPr="0063014E">
        <w:rPr>
          <w:rFonts w:ascii="Times New Roman" w:hAnsi="Times New Roman"/>
          <w:sz w:val="24"/>
          <w:szCs w:val="24"/>
        </w:rPr>
        <w:t>dkk.</w:t>
      </w:r>
      <w:r w:rsidR="00C8301C" w:rsidRPr="0063014E">
        <w:rPr>
          <w:rFonts w:ascii="Times New Roman" w:hAnsi="Times New Roman"/>
          <w:sz w:val="24"/>
          <w:szCs w:val="24"/>
        </w:rPr>
        <w:t>,</w:t>
      </w:r>
      <w:proofErr w:type="gramEnd"/>
      <w:r w:rsidR="00C8301C" w:rsidRPr="0063014E">
        <w:rPr>
          <w:rFonts w:ascii="Times New Roman" w:hAnsi="Times New Roman"/>
          <w:sz w:val="24"/>
          <w:szCs w:val="24"/>
        </w:rPr>
        <w:t xml:space="preserve"> 2017) </w:t>
      </w:r>
      <w:r w:rsidRPr="0063014E">
        <w:rPr>
          <w:rFonts w:ascii="Times New Roman" w:hAnsi="Times New Roman"/>
          <w:sz w:val="24"/>
          <w:szCs w:val="24"/>
        </w:rPr>
        <w:t xml:space="preserve">dan kitosan </w:t>
      </w:r>
      <w:r w:rsidR="007545C0" w:rsidRPr="0063014E">
        <w:rPr>
          <w:rFonts w:ascii="Times New Roman" w:hAnsi="Times New Roman"/>
          <w:sz w:val="24"/>
          <w:szCs w:val="24"/>
        </w:rPr>
        <w:t>(He dkk., 2019)</w:t>
      </w:r>
      <w:r w:rsidRPr="0063014E">
        <w:rPr>
          <w:rFonts w:ascii="Times New Roman" w:hAnsi="Times New Roman"/>
          <w:sz w:val="24"/>
          <w:szCs w:val="24"/>
        </w:rPr>
        <w:t>.</w:t>
      </w:r>
    </w:p>
    <w:p w:rsidR="00164FE6" w:rsidRPr="00F720E5" w:rsidRDefault="00F720E5" w:rsidP="00CC1738">
      <w:pPr>
        <w:spacing w:after="0" w:line="360" w:lineRule="auto"/>
        <w:ind w:firstLine="720"/>
        <w:jc w:val="both"/>
        <w:rPr>
          <w:rFonts w:ascii="Times New Roman" w:hAnsi="Times New Roman"/>
          <w:szCs w:val="24"/>
        </w:rPr>
      </w:pPr>
      <w:r w:rsidRPr="0063014E">
        <w:rPr>
          <w:rFonts w:ascii="Times New Roman" w:hAnsi="Times New Roman"/>
          <w:sz w:val="24"/>
          <w:szCs w:val="24"/>
        </w:rPr>
        <w:t>Penelitian mengenai pemanfaatan adsorben dari biomassa banyak digunakan karena bahan dasarnya yang cukup melimpah mengingat Indonesia merupa</w:t>
      </w:r>
      <w:r w:rsidR="00226810">
        <w:rPr>
          <w:rFonts w:ascii="Times New Roman" w:hAnsi="Times New Roman"/>
          <w:sz w:val="24"/>
          <w:szCs w:val="24"/>
        </w:rPr>
        <w:t>k</w:t>
      </w:r>
      <w:r w:rsidR="0004201E">
        <w:rPr>
          <w:rFonts w:ascii="Times New Roman" w:hAnsi="Times New Roman"/>
          <w:sz w:val="24"/>
          <w:szCs w:val="24"/>
        </w:rPr>
        <w:t>an n</w:t>
      </w:r>
      <w:r w:rsidRPr="0063014E">
        <w:rPr>
          <w:rFonts w:ascii="Times New Roman" w:hAnsi="Times New Roman"/>
          <w:sz w:val="24"/>
          <w:szCs w:val="24"/>
        </w:rPr>
        <w:t xml:space="preserve">egara yang kaya </w:t>
      </w:r>
      <w:proofErr w:type="gramStart"/>
      <w:r w:rsidRPr="0063014E">
        <w:rPr>
          <w:rFonts w:ascii="Times New Roman" w:hAnsi="Times New Roman"/>
          <w:sz w:val="24"/>
          <w:szCs w:val="24"/>
        </w:rPr>
        <w:t>akan</w:t>
      </w:r>
      <w:proofErr w:type="gramEnd"/>
      <w:r w:rsidRPr="0063014E">
        <w:rPr>
          <w:rFonts w:ascii="Times New Roman" w:hAnsi="Times New Roman"/>
          <w:sz w:val="24"/>
          <w:szCs w:val="24"/>
        </w:rPr>
        <w:t xml:space="preserve"> Sumber Daya Alam (SDA). Biomassa adalah materal yang biasanya berasal dari kulit, kayu, serabut, biji sampai limbah yang atau sisa hasil proses maupun produksi seperti ampas sehingga lebih ramah lingkungan dan mengurangi limbah dengan memanfaatkan limbah atau sisa produksi menjadi material yang berguna </w:t>
      </w:r>
      <w:r w:rsidR="00F74826" w:rsidRPr="0063014E">
        <w:rPr>
          <w:rFonts w:ascii="Times New Roman" w:hAnsi="Times New Roman"/>
          <w:sz w:val="24"/>
          <w:szCs w:val="24"/>
        </w:rPr>
        <w:t xml:space="preserve">(Perea-Moreno </w:t>
      </w:r>
      <w:proofErr w:type="gramStart"/>
      <w:r w:rsidR="00F74826" w:rsidRPr="0063014E">
        <w:rPr>
          <w:rFonts w:ascii="Times New Roman" w:hAnsi="Times New Roman"/>
          <w:sz w:val="24"/>
          <w:szCs w:val="24"/>
        </w:rPr>
        <w:t>dkk.,</w:t>
      </w:r>
      <w:proofErr w:type="gramEnd"/>
      <w:r w:rsidR="00F74826" w:rsidRPr="0063014E">
        <w:rPr>
          <w:rFonts w:ascii="Times New Roman" w:hAnsi="Times New Roman"/>
          <w:sz w:val="24"/>
          <w:szCs w:val="24"/>
        </w:rPr>
        <w:t xml:space="preserve"> 2019)</w:t>
      </w:r>
      <w:r w:rsidRPr="0063014E">
        <w:rPr>
          <w:rFonts w:ascii="Times New Roman" w:hAnsi="Times New Roman"/>
          <w:sz w:val="24"/>
          <w:szCs w:val="24"/>
        </w:rPr>
        <w:t xml:space="preserve">. Tak sedikit pula penelitian pemanfaatan biomassa dalam </w:t>
      </w:r>
      <w:r w:rsidRPr="0063014E">
        <w:rPr>
          <w:rFonts w:ascii="Times New Roman" w:hAnsi="Times New Roman"/>
          <w:i/>
          <w:sz w:val="24"/>
          <w:szCs w:val="24"/>
        </w:rPr>
        <w:t>recovery</w:t>
      </w:r>
      <w:r w:rsidRPr="0063014E">
        <w:rPr>
          <w:rFonts w:ascii="Times New Roman" w:hAnsi="Times New Roman"/>
          <w:sz w:val="24"/>
          <w:szCs w:val="24"/>
        </w:rPr>
        <w:t xml:space="preserve"> ion logam dalam larutan dilakukan proses studi kinetika adsorpsi untuk mengetahui kemampuan optimum dari adsorben yang dihasilkan dalam proses </w:t>
      </w:r>
      <w:r w:rsidRPr="0063014E">
        <w:rPr>
          <w:rFonts w:ascii="Times New Roman" w:hAnsi="Times New Roman"/>
          <w:i/>
          <w:sz w:val="24"/>
          <w:szCs w:val="24"/>
        </w:rPr>
        <w:t>recovery</w:t>
      </w:r>
      <w:r w:rsidRPr="0063014E">
        <w:rPr>
          <w:rFonts w:ascii="Times New Roman" w:hAnsi="Times New Roman"/>
          <w:sz w:val="24"/>
          <w:szCs w:val="24"/>
        </w:rPr>
        <w:t xml:space="preserve"> ion logam tersebut. Oleh sebab itu pentingnya studi kinetika adsorpsi dalam </w:t>
      </w:r>
      <w:r w:rsidRPr="0063014E">
        <w:rPr>
          <w:rFonts w:ascii="Times New Roman" w:hAnsi="Times New Roman"/>
          <w:i/>
          <w:sz w:val="24"/>
          <w:szCs w:val="24"/>
        </w:rPr>
        <w:t>recovery</w:t>
      </w:r>
      <w:r w:rsidRPr="0063014E">
        <w:rPr>
          <w:rFonts w:ascii="Times New Roman" w:hAnsi="Times New Roman"/>
          <w:sz w:val="24"/>
          <w:szCs w:val="24"/>
        </w:rPr>
        <w:t xml:space="preserve"> ion logam dalam larutan. Pada penelitian ini material yang dijadikan adsorben adalah biomassa dari ekstrak kulit buah rambutan yang dilakukan proses polimerisasi untuk dijadikan sebagai biosorben yang ramah lingkungan dan selektif terhadap ion logam </w:t>
      </w:r>
      <w:proofErr w:type="gramStart"/>
      <w:r w:rsidRPr="0063014E">
        <w:rPr>
          <w:rFonts w:ascii="Times New Roman" w:hAnsi="Times New Roman"/>
          <w:sz w:val="24"/>
          <w:szCs w:val="24"/>
        </w:rPr>
        <w:t>Cu(</w:t>
      </w:r>
      <w:proofErr w:type="gramEnd"/>
      <w:r w:rsidRPr="0063014E">
        <w:rPr>
          <w:rFonts w:ascii="Times New Roman" w:hAnsi="Times New Roman"/>
          <w:sz w:val="24"/>
          <w:szCs w:val="24"/>
        </w:rPr>
        <w:t xml:space="preserve">II) dan </w:t>
      </w:r>
      <w:r w:rsidRPr="0063014E">
        <w:rPr>
          <w:rFonts w:ascii="Times New Roman" w:hAnsi="Times New Roman"/>
          <w:sz w:val="24"/>
          <w:szCs w:val="24"/>
        </w:rPr>
        <w:lastRenderedPageBreak/>
        <w:t xml:space="preserve">Pb(II) dalam larutan. Studi kinetika adsorpsi yang dilakukan dengan menggunakan pendekatan </w:t>
      </w:r>
      <w:proofErr w:type="gramStart"/>
      <w:r w:rsidRPr="0063014E">
        <w:rPr>
          <w:rFonts w:ascii="Times New Roman" w:hAnsi="Times New Roman"/>
          <w:sz w:val="24"/>
          <w:szCs w:val="24"/>
        </w:rPr>
        <w:t>beberapa  odel</w:t>
      </w:r>
      <w:proofErr w:type="gramEnd"/>
      <w:r w:rsidRPr="0063014E">
        <w:rPr>
          <w:rFonts w:ascii="Times New Roman" w:hAnsi="Times New Roman"/>
          <w:sz w:val="24"/>
          <w:szCs w:val="24"/>
        </w:rPr>
        <w:t xml:space="preserve"> kinetika adsorpsi.</w:t>
      </w:r>
    </w:p>
    <w:p w:rsidR="00164FE6" w:rsidRDefault="00164FE6" w:rsidP="00164FE6">
      <w:pPr>
        <w:spacing w:after="0" w:line="360" w:lineRule="auto"/>
        <w:ind w:firstLine="720"/>
        <w:jc w:val="both"/>
        <w:rPr>
          <w:rFonts w:ascii="Times New Roman" w:eastAsia="Times New Roman" w:hAnsi="Times New Roman"/>
          <w:sz w:val="24"/>
          <w:szCs w:val="24"/>
        </w:rPr>
      </w:pPr>
    </w:p>
    <w:p w:rsidR="00164FE6" w:rsidRPr="00164FE6" w:rsidRDefault="00164FE6" w:rsidP="00164FE6">
      <w:pPr>
        <w:pStyle w:val="ListParagraph"/>
        <w:spacing w:after="0" w:line="360" w:lineRule="auto"/>
        <w:ind w:left="0"/>
        <w:jc w:val="both"/>
        <w:rPr>
          <w:rFonts w:ascii="Times New Roman" w:hAnsi="Times New Roman"/>
          <w:b/>
          <w:bCs/>
          <w:sz w:val="24"/>
          <w:szCs w:val="24"/>
          <w:lang w:val="id-ID"/>
        </w:rPr>
      </w:pPr>
      <w:r w:rsidRPr="00164FE6">
        <w:rPr>
          <w:rFonts w:ascii="Times New Roman" w:hAnsi="Times New Roman"/>
          <w:b/>
          <w:bCs/>
          <w:sz w:val="24"/>
          <w:szCs w:val="24"/>
          <w:lang w:val="id-ID"/>
        </w:rPr>
        <w:t>Metode Penelitian</w:t>
      </w:r>
    </w:p>
    <w:p w:rsidR="00F720E5" w:rsidRPr="00742BB7" w:rsidRDefault="00F720E5" w:rsidP="0063014E">
      <w:pPr>
        <w:spacing w:after="0" w:line="240" w:lineRule="auto"/>
        <w:jc w:val="both"/>
        <w:rPr>
          <w:rFonts w:ascii="Times New Roman" w:hAnsi="Times New Roman"/>
          <w:i/>
          <w:sz w:val="24"/>
        </w:rPr>
      </w:pPr>
      <w:r w:rsidRPr="00742BB7">
        <w:rPr>
          <w:rFonts w:ascii="Times New Roman" w:hAnsi="Times New Roman"/>
          <w:i/>
          <w:sz w:val="24"/>
        </w:rPr>
        <w:t>Alat dan Bahan</w:t>
      </w:r>
    </w:p>
    <w:p w:rsidR="00F720E5" w:rsidRPr="00742BB7" w:rsidRDefault="00F720E5" w:rsidP="00F720E5">
      <w:pPr>
        <w:spacing w:after="0" w:line="360" w:lineRule="auto"/>
        <w:ind w:firstLine="720"/>
        <w:jc w:val="both"/>
        <w:rPr>
          <w:rFonts w:ascii="Times New Roman" w:hAnsi="Times New Roman"/>
          <w:sz w:val="24"/>
        </w:rPr>
      </w:pPr>
      <w:r w:rsidRPr="00742BB7">
        <w:rPr>
          <w:rFonts w:ascii="Times New Roman" w:hAnsi="Times New Roman"/>
          <w:sz w:val="24"/>
        </w:rPr>
        <w:t>Bahan yang digunakan dalam penelitian ini adalah kulit buah rambutan, NaOH, HCl, CH</w:t>
      </w:r>
      <w:r w:rsidRPr="00742BB7">
        <w:rPr>
          <w:rFonts w:ascii="Times New Roman" w:hAnsi="Times New Roman"/>
          <w:sz w:val="24"/>
          <w:vertAlign w:val="subscript"/>
        </w:rPr>
        <w:t>2</w:t>
      </w:r>
      <w:r w:rsidRPr="00742BB7">
        <w:rPr>
          <w:rFonts w:ascii="Times New Roman" w:hAnsi="Times New Roman"/>
          <w:sz w:val="24"/>
        </w:rPr>
        <w:t>O, H</w:t>
      </w:r>
      <w:r w:rsidRPr="00742BB7">
        <w:rPr>
          <w:rFonts w:ascii="Times New Roman" w:hAnsi="Times New Roman"/>
          <w:sz w:val="24"/>
          <w:vertAlign w:val="subscript"/>
        </w:rPr>
        <w:t>2</w:t>
      </w:r>
      <w:r w:rsidRPr="00742BB7">
        <w:rPr>
          <w:rFonts w:ascii="Times New Roman" w:hAnsi="Times New Roman"/>
          <w:sz w:val="24"/>
        </w:rPr>
        <w:t>O.</w:t>
      </w:r>
    </w:p>
    <w:p w:rsidR="00F720E5" w:rsidRPr="00742BB7" w:rsidRDefault="00F720E5" w:rsidP="00F720E5">
      <w:pPr>
        <w:spacing w:after="0" w:line="360" w:lineRule="auto"/>
        <w:ind w:firstLine="720"/>
        <w:jc w:val="both"/>
        <w:rPr>
          <w:rFonts w:ascii="Times New Roman" w:hAnsi="Times New Roman"/>
          <w:sz w:val="24"/>
        </w:rPr>
      </w:pPr>
      <w:r w:rsidRPr="00742BB7">
        <w:rPr>
          <w:rFonts w:ascii="Times New Roman" w:hAnsi="Times New Roman"/>
          <w:sz w:val="24"/>
        </w:rPr>
        <w:t xml:space="preserve">Alat yang digunakan adalah </w:t>
      </w:r>
      <w:r w:rsidRPr="00742BB7">
        <w:rPr>
          <w:rFonts w:ascii="Times New Roman" w:hAnsi="Times New Roman"/>
          <w:i/>
          <w:sz w:val="24"/>
        </w:rPr>
        <w:t>Atomic Absorption Spectrophotometer</w:t>
      </w:r>
      <w:r w:rsidRPr="00742BB7">
        <w:rPr>
          <w:rFonts w:ascii="Times New Roman" w:hAnsi="Times New Roman"/>
          <w:sz w:val="24"/>
        </w:rPr>
        <w:t xml:space="preserve"> (AAS).</w:t>
      </w:r>
    </w:p>
    <w:p w:rsidR="00F720E5" w:rsidRDefault="00F720E5" w:rsidP="00F720E5">
      <w:pPr>
        <w:spacing w:after="0" w:line="360" w:lineRule="auto"/>
        <w:ind w:firstLine="720"/>
        <w:jc w:val="both"/>
        <w:rPr>
          <w:rFonts w:ascii="Times New Roman" w:hAnsi="Times New Roman"/>
        </w:rPr>
      </w:pPr>
    </w:p>
    <w:p w:rsidR="00F720E5" w:rsidRPr="00742BB7" w:rsidRDefault="00F720E5" w:rsidP="0063014E">
      <w:pPr>
        <w:spacing w:after="0" w:line="240" w:lineRule="auto"/>
        <w:jc w:val="both"/>
        <w:rPr>
          <w:rFonts w:ascii="Times New Roman" w:hAnsi="Times New Roman"/>
          <w:i/>
          <w:sz w:val="24"/>
          <w:szCs w:val="24"/>
        </w:rPr>
      </w:pPr>
      <w:r w:rsidRPr="00742BB7">
        <w:rPr>
          <w:rFonts w:ascii="Times New Roman" w:hAnsi="Times New Roman"/>
          <w:i/>
          <w:sz w:val="24"/>
          <w:szCs w:val="24"/>
        </w:rPr>
        <w:t xml:space="preserve">Ekstraksi tanin dari kulit buah rambutan </w:t>
      </w:r>
    </w:p>
    <w:p w:rsidR="00F720E5" w:rsidRPr="00742BB7" w:rsidRDefault="00F720E5" w:rsidP="00F720E5">
      <w:pPr>
        <w:spacing w:after="0" w:line="360" w:lineRule="auto"/>
        <w:ind w:firstLine="720"/>
        <w:jc w:val="both"/>
        <w:rPr>
          <w:rFonts w:ascii="Times New Roman" w:hAnsi="Times New Roman"/>
          <w:sz w:val="24"/>
          <w:szCs w:val="24"/>
        </w:rPr>
      </w:pPr>
      <w:r w:rsidRPr="00742BB7">
        <w:rPr>
          <w:rFonts w:ascii="Times New Roman" w:hAnsi="Times New Roman"/>
          <w:sz w:val="24"/>
          <w:szCs w:val="24"/>
        </w:rPr>
        <w:t>Serbuk kulit rambutan dengan ukuran 240 mesh sebanyak 20 g ditambahkan 200 mL NaOH 0</w:t>
      </w:r>
      <w:proofErr w:type="gramStart"/>
      <w:r w:rsidRPr="00742BB7">
        <w:rPr>
          <w:rFonts w:ascii="Times New Roman" w:hAnsi="Times New Roman"/>
          <w:sz w:val="24"/>
          <w:szCs w:val="24"/>
        </w:rPr>
        <w:t>,2</w:t>
      </w:r>
      <w:proofErr w:type="gramEnd"/>
      <w:r w:rsidRPr="00742BB7">
        <w:rPr>
          <w:rFonts w:ascii="Times New Roman" w:hAnsi="Times New Roman"/>
          <w:sz w:val="24"/>
          <w:szCs w:val="24"/>
        </w:rPr>
        <w:t xml:space="preserve"> M. Campuran kemudian distirer pada selama 2 jam pada temperatur 50 °C. Padatan dan larutan dipisahkan dengan </w:t>
      </w:r>
      <w:proofErr w:type="gramStart"/>
      <w:r w:rsidRPr="00742BB7">
        <w:rPr>
          <w:rFonts w:ascii="Times New Roman" w:hAnsi="Times New Roman"/>
          <w:sz w:val="24"/>
          <w:szCs w:val="24"/>
        </w:rPr>
        <w:t>cara</w:t>
      </w:r>
      <w:proofErr w:type="gramEnd"/>
      <w:r w:rsidRPr="00742BB7">
        <w:rPr>
          <w:rFonts w:ascii="Times New Roman" w:hAnsi="Times New Roman"/>
          <w:sz w:val="24"/>
          <w:szCs w:val="24"/>
        </w:rPr>
        <w:t xml:space="preserve"> filtrasi menggunakan kertas saring Whatman no.42. Fraksi larutan kemudian dikeringkan pada temperatur 65 °C selama semalaman sampai diperoleh padatan kristalin. Hasil padatan merupakan ekstrak tannin.</w:t>
      </w:r>
    </w:p>
    <w:p w:rsidR="00F720E5" w:rsidRPr="00742BB7" w:rsidRDefault="00F720E5" w:rsidP="00F720E5">
      <w:pPr>
        <w:spacing w:after="0" w:line="360" w:lineRule="auto"/>
        <w:ind w:firstLine="720"/>
        <w:jc w:val="both"/>
        <w:rPr>
          <w:rFonts w:ascii="Times New Roman" w:hAnsi="Times New Roman"/>
          <w:sz w:val="24"/>
          <w:szCs w:val="24"/>
        </w:rPr>
      </w:pPr>
    </w:p>
    <w:p w:rsidR="00F720E5" w:rsidRPr="00742BB7" w:rsidRDefault="00F720E5" w:rsidP="0063014E">
      <w:pPr>
        <w:spacing w:after="0" w:line="240" w:lineRule="auto"/>
        <w:jc w:val="both"/>
        <w:rPr>
          <w:rFonts w:ascii="Times New Roman" w:hAnsi="Times New Roman"/>
          <w:i/>
          <w:sz w:val="24"/>
          <w:szCs w:val="24"/>
        </w:rPr>
      </w:pPr>
      <w:r w:rsidRPr="00742BB7">
        <w:rPr>
          <w:rFonts w:ascii="Times New Roman" w:hAnsi="Times New Roman"/>
          <w:i/>
          <w:sz w:val="24"/>
          <w:szCs w:val="24"/>
        </w:rPr>
        <w:t xml:space="preserve">Polimerisasi tannin dari kulit buah rambutan </w:t>
      </w:r>
    </w:p>
    <w:p w:rsidR="00F720E5" w:rsidRPr="00742BB7" w:rsidRDefault="00F720E5" w:rsidP="00F720E5">
      <w:pPr>
        <w:spacing w:after="0" w:line="360" w:lineRule="auto"/>
        <w:ind w:firstLine="720"/>
        <w:jc w:val="both"/>
        <w:rPr>
          <w:rFonts w:ascii="Times New Roman" w:hAnsi="Times New Roman"/>
          <w:sz w:val="24"/>
          <w:szCs w:val="24"/>
        </w:rPr>
      </w:pPr>
      <w:r w:rsidRPr="00742BB7">
        <w:rPr>
          <w:rFonts w:ascii="Times New Roman" w:hAnsi="Times New Roman"/>
          <w:sz w:val="24"/>
          <w:szCs w:val="24"/>
        </w:rPr>
        <w:t>Proses polimerisasi tannin dilakukan dengan menggunakan reagen CH</w:t>
      </w:r>
      <w:r w:rsidRPr="00742BB7">
        <w:rPr>
          <w:rFonts w:ascii="Times New Roman" w:hAnsi="Times New Roman"/>
          <w:sz w:val="24"/>
          <w:szCs w:val="24"/>
          <w:vertAlign w:val="subscript"/>
        </w:rPr>
        <w:t>2</w:t>
      </w:r>
      <w:r w:rsidRPr="00742BB7">
        <w:rPr>
          <w:rFonts w:ascii="Times New Roman" w:hAnsi="Times New Roman"/>
          <w:sz w:val="24"/>
          <w:szCs w:val="24"/>
        </w:rPr>
        <w:t>O (methanal/forrmaldehid). Ekstrak tannin sebanyak 3 g dilarutkan dalam 60 mL NaOH 0,2 M dan 40 mL H</w:t>
      </w:r>
      <w:r w:rsidRPr="00742BB7">
        <w:rPr>
          <w:rFonts w:ascii="Times New Roman" w:hAnsi="Times New Roman"/>
          <w:sz w:val="24"/>
          <w:szCs w:val="24"/>
          <w:vertAlign w:val="subscript"/>
        </w:rPr>
        <w:t>2</w:t>
      </w:r>
      <w:r w:rsidRPr="00742BB7">
        <w:rPr>
          <w:rFonts w:ascii="Times New Roman" w:hAnsi="Times New Roman"/>
          <w:sz w:val="24"/>
          <w:szCs w:val="24"/>
        </w:rPr>
        <w:t xml:space="preserve">O pada temperatur 80 °C sampai diperoleh campuran yang homogen. Campuran yang </w:t>
      </w:r>
      <w:r w:rsidRPr="00742BB7">
        <w:rPr>
          <w:rFonts w:ascii="Times New Roman" w:hAnsi="Times New Roman"/>
          <w:sz w:val="24"/>
          <w:szCs w:val="24"/>
        </w:rPr>
        <w:lastRenderedPageBreak/>
        <w:t>telah homogen kemudian ditambahkan sejumlah larutan formaldehid 35% sebanyak 11</w:t>
      </w:r>
      <w:proofErr w:type="gramStart"/>
      <w:r w:rsidRPr="00742BB7">
        <w:rPr>
          <w:rFonts w:ascii="Times New Roman" w:hAnsi="Times New Roman"/>
          <w:sz w:val="24"/>
          <w:szCs w:val="24"/>
        </w:rPr>
        <w:t>,44</w:t>
      </w:r>
      <w:proofErr w:type="gramEnd"/>
      <w:r w:rsidRPr="00742BB7">
        <w:rPr>
          <w:rFonts w:ascii="Times New Roman" w:hAnsi="Times New Roman"/>
          <w:sz w:val="24"/>
          <w:szCs w:val="24"/>
        </w:rPr>
        <w:t xml:space="preserve"> mL. Campuran dijaga pada kondisi tersebut selama 8 jam sampai polimerisasi terbentuk. Gel yang telah terbentuk kemudian dikeringkan pada temperatur 65 °C selama semalaman untuk menghilangkan air dan membentuk gel agar lebih padat.</w:t>
      </w:r>
    </w:p>
    <w:p w:rsidR="00B05881" w:rsidRPr="00742BB7" w:rsidRDefault="00B05881" w:rsidP="00B05881">
      <w:pPr>
        <w:spacing w:after="0" w:line="360" w:lineRule="auto"/>
        <w:jc w:val="both"/>
        <w:rPr>
          <w:rFonts w:ascii="Times New Roman" w:hAnsi="Times New Roman"/>
          <w:sz w:val="24"/>
          <w:szCs w:val="24"/>
        </w:rPr>
      </w:pPr>
    </w:p>
    <w:p w:rsidR="00B05881" w:rsidRPr="00742BB7" w:rsidRDefault="00B05881" w:rsidP="0063014E">
      <w:pPr>
        <w:spacing w:after="0" w:line="240" w:lineRule="auto"/>
        <w:jc w:val="both"/>
        <w:rPr>
          <w:rFonts w:ascii="Times New Roman" w:hAnsi="Times New Roman"/>
          <w:i/>
          <w:sz w:val="24"/>
          <w:szCs w:val="24"/>
        </w:rPr>
      </w:pPr>
      <w:r w:rsidRPr="00742BB7">
        <w:rPr>
          <w:rFonts w:ascii="Times New Roman" w:hAnsi="Times New Roman"/>
          <w:i/>
          <w:sz w:val="24"/>
          <w:szCs w:val="24"/>
        </w:rPr>
        <w:t xml:space="preserve">Adsorpsi </w:t>
      </w:r>
      <w:proofErr w:type="gramStart"/>
      <w:r w:rsidRPr="00742BB7">
        <w:rPr>
          <w:rFonts w:ascii="Times New Roman" w:hAnsi="Times New Roman"/>
          <w:i/>
          <w:sz w:val="24"/>
          <w:szCs w:val="24"/>
        </w:rPr>
        <w:t>Cu(</w:t>
      </w:r>
      <w:proofErr w:type="gramEnd"/>
      <w:r w:rsidRPr="00742BB7">
        <w:rPr>
          <w:rFonts w:ascii="Times New Roman" w:hAnsi="Times New Roman"/>
          <w:i/>
          <w:sz w:val="24"/>
          <w:szCs w:val="24"/>
        </w:rPr>
        <w:t>II)</w:t>
      </w:r>
    </w:p>
    <w:p w:rsidR="00B05881" w:rsidRDefault="00B05881" w:rsidP="00F720E5">
      <w:pPr>
        <w:spacing w:after="0" w:line="360" w:lineRule="auto"/>
        <w:ind w:firstLine="720"/>
        <w:jc w:val="both"/>
        <w:rPr>
          <w:rFonts w:ascii="Times New Roman" w:hAnsi="Times New Roman"/>
        </w:rPr>
      </w:pPr>
      <w:r w:rsidRPr="00742BB7">
        <w:rPr>
          <w:rFonts w:ascii="Times New Roman" w:hAnsi="Times New Roman"/>
          <w:sz w:val="24"/>
          <w:szCs w:val="24"/>
        </w:rPr>
        <w:t xml:space="preserve">Uji adsorpsi </w:t>
      </w:r>
      <w:proofErr w:type="gramStart"/>
      <w:r w:rsidRPr="00742BB7">
        <w:rPr>
          <w:rFonts w:ascii="Times New Roman" w:hAnsi="Times New Roman"/>
          <w:sz w:val="24"/>
          <w:szCs w:val="24"/>
        </w:rPr>
        <w:t>Cu(</w:t>
      </w:r>
      <w:proofErr w:type="gramEnd"/>
      <w:r w:rsidRPr="00742BB7">
        <w:rPr>
          <w:rFonts w:ascii="Times New Roman" w:hAnsi="Times New Roman"/>
          <w:sz w:val="24"/>
          <w:szCs w:val="24"/>
        </w:rPr>
        <w:t>II) oleh biosorben dari polimer ekstra kulit buah rambutan dilakukan</w:t>
      </w:r>
      <w:r w:rsidRPr="00B05881">
        <w:rPr>
          <w:rFonts w:ascii="Times New Roman" w:hAnsi="Times New Roman"/>
        </w:rPr>
        <w:t xml:space="preserve"> dengan variasi waktu kontak. Penentuan pH optimum dilakukan dengan melakukan interaksi antara 50 mg biosorben dengan 50 mL larutan Cu(II) dengan konsentrasi 50 ppm pada variasi waktu kontak 0, 10, 20, 30, 40, 50, 60, 70, 80 dan 90 menit. Padatan dan larutan dipisahkan dengan filtrasi menggunakan kertas saring Whatman 42. Filtrat yang diperoleh kemudian dianalisis dengan AAS untuk mengetahui sisa </w:t>
      </w:r>
      <w:proofErr w:type="gramStart"/>
      <w:r w:rsidRPr="00B05881">
        <w:rPr>
          <w:rFonts w:ascii="Times New Roman" w:hAnsi="Times New Roman"/>
        </w:rPr>
        <w:t>Cu(</w:t>
      </w:r>
      <w:proofErr w:type="gramEnd"/>
      <w:r w:rsidRPr="00B05881">
        <w:rPr>
          <w:rFonts w:ascii="Times New Roman" w:hAnsi="Times New Roman"/>
        </w:rPr>
        <w:t>II) yang tidak teradsorpsi oleh biosorben.</w:t>
      </w:r>
    </w:p>
    <w:p w:rsidR="00B05881" w:rsidRDefault="00B05881" w:rsidP="00B05881">
      <w:pPr>
        <w:spacing w:after="0" w:line="360" w:lineRule="auto"/>
        <w:jc w:val="both"/>
        <w:rPr>
          <w:rFonts w:ascii="Times New Roman" w:hAnsi="Times New Roman"/>
        </w:rPr>
      </w:pPr>
    </w:p>
    <w:p w:rsidR="00B05881" w:rsidRPr="00742BB7" w:rsidRDefault="00B05881" w:rsidP="0063014E">
      <w:pPr>
        <w:spacing w:after="0" w:line="240" w:lineRule="auto"/>
        <w:jc w:val="both"/>
        <w:rPr>
          <w:rFonts w:ascii="Times New Roman" w:hAnsi="Times New Roman"/>
          <w:i/>
          <w:sz w:val="24"/>
        </w:rPr>
      </w:pPr>
      <w:r w:rsidRPr="00742BB7">
        <w:rPr>
          <w:rFonts w:ascii="Times New Roman" w:hAnsi="Times New Roman"/>
          <w:i/>
          <w:sz w:val="24"/>
        </w:rPr>
        <w:t xml:space="preserve">Adsorpsi </w:t>
      </w:r>
      <w:proofErr w:type="gramStart"/>
      <w:r w:rsidRPr="00742BB7">
        <w:rPr>
          <w:rFonts w:ascii="Times New Roman" w:hAnsi="Times New Roman"/>
          <w:i/>
          <w:sz w:val="24"/>
        </w:rPr>
        <w:t>Pb(</w:t>
      </w:r>
      <w:proofErr w:type="gramEnd"/>
      <w:r w:rsidRPr="00742BB7">
        <w:rPr>
          <w:rFonts w:ascii="Times New Roman" w:hAnsi="Times New Roman"/>
          <w:i/>
          <w:sz w:val="24"/>
        </w:rPr>
        <w:t>II)</w:t>
      </w:r>
    </w:p>
    <w:p w:rsidR="00164FE6" w:rsidRDefault="00B05881" w:rsidP="00B05881">
      <w:pPr>
        <w:spacing w:after="0" w:line="360" w:lineRule="auto"/>
        <w:ind w:firstLine="720"/>
        <w:jc w:val="both"/>
        <w:rPr>
          <w:rFonts w:ascii="Times New Roman" w:hAnsi="Times New Roman"/>
        </w:rPr>
      </w:pPr>
      <w:r w:rsidRPr="00742BB7">
        <w:rPr>
          <w:rFonts w:ascii="Times New Roman" w:hAnsi="Times New Roman"/>
          <w:sz w:val="24"/>
        </w:rPr>
        <w:t xml:space="preserve">Uji adsorpsi </w:t>
      </w:r>
      <w:proofErr w:type="gramStart"/>
      <w:r w:rsidRPr="00742BB7">
        <w:rPr>
          <w:rFonts w:ascii="Times New Roman" w:hAnsi="Times New Roman"/>
          <w:sz w:val="24"/>
        </w:rPr>
        <w:t>Pb(</w:t>
      </w:r>
      <w:proofErr w:type="gramEnd"/>
      <w:r w:rsidRPr="00742BB7">
        <w:rPr>
          <w:rFonts w:ascii="Times New Roman" w:hAnsi="Times New Roman"/>
          <w:sz w:val="24"/>
        </w:rPr>
        <w:t xml:space="preserve">II) oleh biosorben dari polimer ekstra kulit buah rambutan dilakukan dengan variasi waktu kontak. Prosedurnya sama dengan dengan uji adsorpsi </w:t>
      </w:r>
      <w:proofErr w:type="gramStart"/>
      <w:r w:rsidRPr="00742BB7">
        <w:rPr>
          <w:rFonts w:ascii="Times New Roman" w:hAnsi="Times New Roman"/>
          <w:sz w:val="24"/>
        </w:rPr>
        <w:t>Cu(</w:t>
      </w:r>
      <w:proofErr w:type="gramEnd"/>
      <w:r w:rsidRPr="00742BB7">
        <w:rPr>
          <w:rFonts w:ascii="Times New Roman" w:hAnsi="Times New Roman"/>
          <w:sz w:val="24"/>
        </w:rPr>
        <w:t>II).</w:t>
      </w:r>
    </w:p>
    <w:p w:rsidR="00164FE6" w:rsidRPr="00FB6B99" w:rsidRDefault="00164FE6" w:rsidP="00164FE6">
      <w:pPr>
        <w:spacing w:after="0" w:line="360" w:lineRule="auto"/>
        <w:jc w:val="both"/>
        <w:rPr>
          <w:rFonts w:ascii="Times New Roman" w:eastAsia="Times New Roman" w:hAnsi="Times New Roman"/>
          <w:sz w:val="24"/>
          <w:szCs w:val="24"/>
        </w:rPr>
      </w:pPr>
    </w:p>
    <w:p w:rsidR="00164FE6" w:rsidRPr="00164FE6" w:rsidRDefault="00164FE6" w:rsidP="00164FE6">
      <w:pPr>
        <w:pStyle w:val="ListParagraph"/>
        <w:spacing w:after="0" w:line="360" w:lineRule="auto"/>
        <w:ind w:left="0"/>
        <w:jc w:val="both"/>
        <w:rPr>
          <w:rFonts w:ascii="Times New Roman" w:hAnsi="Times New Roman"/>
          <w:b/>
          <w:bCs/>
          <w:sz w:val="24"/>
          <w:szCs w:val="24"/>
          <w:lang w:val="id-ID"/>
        </w:rPr>
      </w:pPr>
      <w:r w:rsidRPr="00164FE6">
        <w:rPr>
          <w:rFonts w:ascii="Times New Roman" w:hAnsi="Times New Roman"/>
          <w:b/>
          <w:bCs/>
          <w:sz w:val="24"/>
          <w:szCs w:val="24"/>
          <w:lang w:val="id-ID"/>
        </w:rPr>
        <w:t>Pembahasan</w:t>
      </w:r>
    </w:p>
    <w:p w:rsidR="00164FE6" w:rsidRPr="00FB6B99" w:rsidRDefault="00986F50" w:rsidP="00986F50">
      <w:pPr>
        <w:spacing w:after="0" w:line="360" w:lineRule="auto"/>
        <w:ind w:firstLine="720"/>
        <w:jc w:val="both"/>
        <w:rPr>
          <w:rFonts w:ascii="Times New Roman" w:eastAsia="Times New Roman" w:hAnsi="Times New Roman"/>
          <w:sz w:val="24"/>
          <w:szCs w:val="24"/>
        </w:rPr>
      </w:pPr>
      <w:r w:rsidRPr="00986F50">
        <w:rPr>
          <w:rFonts w:ascii="Times New Roman" w:eastAsia="Times New Roman" w:hAnsi="Times New Roman"/>
          <w:sz w:val="24"/>
          <w:szCs w:val="24"/>
        </w:rPr>
        <w:t xml:space="preserve">Adsorpsi Cu Dan Pb dengan menggunakan biosorben menghasilkan </w:t>
      </w:r>
      <w:r w:rsidRPr="00986F50">
        <w:rPr>
          <w:rFonts w:ascii="Times New Roman" w:eastAsia="Times New Roman" w:hAnsi="Times New Roman"/>
          <w:sz w:val="24"/>
          <w:szCs w:val="24"/>
        </w:rPr>
        <w:lastRenderedPageBreak/>
        <w:t xml:space="preserve">kapasitas adsorpsi yang berbeda satu </w:t>
      </w:r>
      <w:proofErr w:type="gramStart"/>
      <w:r w:rsidRPr="00986F50">
        <w:rPr>
          <w:rFonts w:ascii="Times New Roman" w:eastAsia="Times New Roman" w:hAnsi="Times New Roman"/>
          <w:sz w:val="24"/>
          <w:szCs w:val="24"/>
        </w:rPr>
        <w:t>sama</w:t>
      </w:r>
      <w:proofErr w:type="gramEnd"/>
      <w:r w:rsidRPr="00986F50">
        <w:rPr>
          <w:rFonts w:ascii="Times New Roman" w:eastAsia="Times New Roman" w:hAnsi="Times New Roman"/>
          <w:sz w:val="24"/>
          <w:szCs w:val="24"/>
        </w:rPr>
        <w:t xml:space="preserve"> lain. Kapasitas adsorpsi biosorben terhadap Pb lebih tinggi dibandingkan dengan Cu. Kapasitas adsorpsi biosorben terhadap Pb dapat mencapai lebih dari 5 kalinya kapasitas adsorpsi biosorben terhadap Cu. Hal tersebut disebabkan karena sifat Pb(II) yang lebih elektronegatif dibandingkan dengan Cu(II) sehingga Pb(II) akan lebih mudah teradsorpsi pada permukaan biosorben </w:t>
      </w:r>
      <w:r w:rsidR="00742BB7" w:rsidRPr="00742BB7">
        <w:rPr>
          <w:rFonts w:ascii="Times New Roman" w:eastAsia="Times New Roman" w:hAnsi="Times New Roman"/>
          <w:sz w:val="24"/>
          <w:szCs w:val="24"/>
        </w:rPr>
        <w:t>(Tsai dkk., 2016)</w:t>
      </w:r>
      <w:r w:rsidRPr="00986F50">
        <w:rPr>
          <w:rFonts w:ascii="Times New Roman" w:eastAsia="Times New Roman" w:hAnsi="Times New Roman"/>
          <w:sz w:val="24"/>
          <w:szCs w:val="24"/>
        </w:rPr>
        <w:t xml:space="preserve">. Di mana permukaan bisorben sebagian besar bermuatan postif yang disebakan karena adanya gugus fungsional </w:t>
      </w:r>
      <w:proofErr w:type="gramStart"/>
      <w:r w:rsidRPr="00986F50">
        <w:rPr>
          <w:rFonts w:ascii="Times New Roman" w:eastAsia="Times New Roman" w:hAnsi="Times New Roman"/>
          <w:sz w:val="24"/>
          <w:szCs w:val="24"/>
        </w:rPr>
        <w:t>yag</w:t>
      </w:r>
      <w:proofErr w:type="gramEnd"/>
      <w:r w:rsidRPr="00986F50">
        <w:rPr>
          <w:rFonts w:ascii="Times New Roman" w:eastAsia="Times New Roman" w:hAnsi="Times New Roman"/>
          <w:sz w:val="24"/>
          <w:szCs w:val="24"/>
        </w:rPr>
        <w:t xml:space="preserve"> dimiliki bisorben seperti hidroksil, carboksilat, dsb. Oleh karena itu afinitas </w:t>
      </w:r>
      <w:proofErr w:type="gramStart"/>
      <w:r w:rsidRPr="00986F50">
        <w:rPr>
          <w:rFonts w:ascii="Times New Roman" w:eastAsia="Times New Roman" w:hAnsi="Times New Roman"/>
          <w:sz w:val="24"/>
          <w:szCs w:val="24"/>
        </w:rPr>
        <w:t>Pb(</w:t>
      </w:r>
      <w:proofErr w:type="gramEnd"/>
      <w:r w:rsidRPr="00986F50">
        <w:rPr>
          <w:rFonts w:ascii="Times New Roman" w:eastAsia="Times New Roman" w:hAnsi="Times New Roman"/>
          <w:sz w:val="24"/>
          <w:szCs w:val="24"/>
        </w:rPr>
        <w:t>II) lebih besar teradsorpsi pada permukaan biosorben polimer ekstrak kulit buah rambutan.</w:t>
      </w:r>
    </w:p>
    <w:p w:rsidR="00C14FFB" w:rsidRPr="00C14FFB" w:rsidRDefault="00C14FFB" w:rsidP="00D138B7">
      <w:pPr>
        <w:pStyle w:val="ListParagraph"/>
        <w:spacing w:after="0" w:line="240" w:lineRule="auto"/>
        <w:ind w:left="0"/>
        <w:jc w:val="both"/>
        <w:rPr>
          <w:rFonts w:ascii="Times New Roman" w:hAnsi="Times New Roman"/>
          <w:sz w:val="24"/>
          <w:szCs w:val="24"/>
        </w:rPr>
      </w:pPr>
      <w:r w:rsidRPr="00C14FFB">
        <w:rPr>
          <w:rFonts w:ascii="Times New Roman" w:hAnsi="Times New Roman"/>
          <w:b/>
          <w:sz w:val="24"/>
          <w:szCs w:val="24"/>
        </w:rPr>
        <w:t>Tabel 1.</w:t>
      </w:r>
      <w:r w:rsidRPr="00C14FFB">
        <w:rPr>
          <w:rFonts w:ascii="Times New Roman" w:hAnsi="Times New Roman"/>
          <w:sz w:val="24"/>
          <w:szCs w:val="24"/>
        </w:rPr>
        <w:t xml:space="preserve"> Kapasitas adso</w:t>
      </w:r>
      <w:r w:rsidR="00D138B7">
        <w:rPr>
          <w:rFonts w:ascii="Times New Roman" w:hAnsi="Times New Roman"/>
          <w:sz w:val="24"/>
          <w:szCs w:val="24"/>
        </w:rPr>
        <w:t xml:space="preserve">rpsi biosorben </w:t>
      </w:r>
      <w:r w:rsidRPr="00C14FFB">
        <w:rPr>
          <w:rFonts w:ascii="Times New Roman" w:hAnsi="Times New Roman"/>
          <w:sz w:val="24"/>
          <w:szCs w:val="24"/>
        </w:rPr>
        <w:t xml:space="preserve">terhadap </w:t>
      </w:r>
      <w:proofErr w:type="gramStart"/>
      <w:r w:rsidRPr="00C14FFB">
        <w:rPr>
          <w:rFonts w:ascii="Times New Roman" w:hAnsi="Times New Roman"/>
          <w:sz w:val="24"/>
          <w:szCs w:val="24"/>
        </w:rPr>
        <w:t>Cu(</w:t>
      </w:r>
      <w:proofErr w:type="gramEnd"/>
      <w:r w:rsidRPr="00C14FFB">
        <w:rPr>
          <w:rFonts w:ascii="Times New Roman" w:hAnsi="Times New Roman"/>
          <w:sz w:val="24"/>
          <w:szCs w:val="24"/>
        </w:rPr>
        <w:t>II) dan Pb(II)</w:t>
      </w:r>
    </w:p>
    <w:tbl>
      <w:tblPr>
        <w:tblW w:w="39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26"/>
        <w:gridCol w:w="963"/>
        <w:gridCol w:w="1116"/>
        <w:gridCol w:w="1190"/>
      </w:tblGrid>
      <w:tr w:rsidR="00D138B7" w:rsidRPr="00C14FFB" w:rsidTr="00D138B7">
        <w:trPr>
          <w:trHeight w:val="300"/>
          <w:jc w:val="center"/>
        </w:trPr>
        <w:tc>
          <w:tcPr>
            <w:tcW w:w="726" w:type="dxa"/>
            <w:vMerge w:val="restart"/>
            <w:noWrap/>
            <w:vAlign w:val="center"/>
            <w:hideMark/>
          </w:tcPr>
          <w:p w:rsidR="00D138B7" w:rsidRPr="00C14FFB" w:rsidRDefault="00D138B7" w:rsidP="00565460">
            <w:pPr>
              <w:spacing w:after="0" w:line="240" w:lineRule="auto"/>
              <w:jc w:val="center"/>
              <w:rPr>
                <w:rFonts w:ascii="Times New Roman" w:eastAsia="Times New Roman" w:hAnsi="Times New Roman"/>
                <w:b/>
                <w:color w:val="000000"/>
                <w:sz w:val="24"/>
                <w:szCs w:val="24"/>
              </w:rPr>
            </w:pPr>
            <w:r w:rsidRPr="00C14FFB">
              <w:rPr>
                <w:rFonts w:ascii="Times New Roman" w:eastAsia="Times New Roman" w:hAnsi="Times New Roman"/>
                <w:b/>
                <w:color w:val="000000"/>
                <w:sz w:val="24"/>
                <w:szCs w:val="24"/>
              </w:rPr>
              <w:t>No.</w:t>
            </w:r>
          </w:p>
        </w:tc>
        <w:tc>
          <w:tcPr>
            <w:tcW w:w="963" w:type="dxa"/>
            <w:vMerge w:val="restart"/>
            <w:noWrap/>
            <w:vAlign w:val="center"/>
            <w:hideMark/>
          </w:tcPr>
          <w:p w:rsidR="00D138B7" w:rsidRPr="00C14FFB" w:rsidRDefault="00D138B7" w:rsidP="00565460">
            <w:pPr>
              <w:spacing w:after="0" w:line="240" w:lineRule="auto"/>
              <w:jc w:val="center"/>
              <w:rPr>
                <w:rFonts w:ascii="Times New Roman" w:eastAsia="Times New Roman" w:hAnsi="Times New Roman"/>
                <w:b/>
                <w:color w:val="000000"/>
                <w:sz w:val="24"/>
                <w:szCs w:val="24"/>
              </w:rPr>
            </w:pPr>
            <w:r w:rsidRPr="00C14FFB">
              <w:rPr>
                <w:rFonts w:ascii="Times New Roman" w:eastAsia="Times New Roman" w:hAnsi="Times New Roman"/>
                <w:b/>
                <w:color w:val="000000"/>
                <w:sz w:val="24"/>
                <w:szCs w:val="24"/>
              </w:rPr>
              <w:t>Waktu (menit)</w:t>
            </w:r>
          </w:p>
        </w:tc>
        <w:tc>
          <w:tcPr>
            <w:tcW w:w="2306" w:type="dxa"/>
            <w:gridSpan w:val="2"/>
            <w:noWrap/>
            <w:vAlign w:val="center"/>
            <w:hideMark/>
          </w:tcPr>
          <w:p w:rsidR="00D138B7" w:rsidRPr="00C14FFB" w:rsidRDefault="00D138B7">
            <w:pPr>
              <w:spacing w:after="0" w:line="240" w:lineRule="auto"/>
              <w:rPr>
                <w:rFonts w:ascii="Times New Roman" w:hAnsi="Times New Roman"/>
                <w:sz w:val="24"/>
                <w:szCs w:val="24"/>
              </w:rPr>
            </w:pPr>
            <w:r w:rsidRPr="00C14FFB">
              <w:rPr>
                <w:rFonts w:ascii="Times New Roman" w:eastAsia="Times New Roman" w:hAnsi="Times New Roman"/>
                <w:b/>
                <w:color w:val="000000"/>
                <w:sz w:val="24"/>
                <w:szCs w:val="24"/>
              </w:rPr>
              <w:t>qt (mg.g</w:t>
            </w:r>
            <w:r w:rsidRPr="00C14FFB">
              <w:rPr>
                <w:rFonts w:ascii="Times New Roman" w:eastAsia="Times New Roman" w:hAnsi="Times New Roman"/>
                <w:b/>
                <w:color w:val="000000"/>
                <w:sz w:val="24"/>
                <w:szCs w:val="24"/>
                <w:vertAlign w:val="superscript"/>
              </w:rPr>
              <w:t>-1</w:t>
            </w:r>
            <w:r w:rsidRPr="00C14FFB">
              <w:rPr>
                <w:rFonts w:ascii="Times New Roman" w:eastAsia="Times New Roman" w:hAnsi="Times New Roman"/>
                <w:b/>
                <w:color w:val="000000"/>
                <w:sz w:val="24"/>
                <w:szCs w:val="24"/>
              </w:rPr>
              <w:t>)</w:t>
            </w:r>
          </w:p>
        </w:tc>
      </w:tr>
      <w:tr w:rsidR="00D138B7" w:rsidRPr="00C14FFB" w:rsidTr="00D138B7">
        <w:trPr>
          <w:trHeight w:val="300"/>
          <w:jc w:val="center"/>
        </w:trPr>
        <w:tc>
          <w:tcPr>
            <w:tcW w:w="726" w:type="dxa"/>
            <w:vMerge/>
            <w:tcBorders>
              <w:bottom w:val="single" w:sz="4" w:space="0" w:color="auto"/>
            </w:tcBorders>
            <w:noWrap/>
            <w:vAlign w:val="center"/>
          </w:tcPr>
          <w:p w:rsidR="00C14FFB" w:rsidRPr="00C14FFB" w:rsidRDefault="00C14FFB" w:rsidP="00565460">
            <w:pPr>
              <w:spacing w:after="0" w:line="240" w:lineRule="auto"/>
              <w:jc w:val="center"/>
              <w:rPr>
                <w:rFonts w:ascii="Times New Roman" w:eastAsia="Times New Roman" w:hAnsi="Times New Roman"/>
                <w:color w:val="000000"/>
                <w:sz w:val="24"/>
                <w:szCs w:val="24"/>
              </w:rPr>
            </w:pPr>
          </w:p>
        </w:tc>
        <w:tc>
          <w:tcPr>
            <w:tcW w:w="963" w:type="dxa"/>
            <w:vMerge/>
            <w:tcBorders>
              <w:bottom w:val="single" w:sz="4" w:space="0" w:color="auto"/>
            </w:tcBorders>
            <w:noWrap/>
            <w:vAlign w:val="center"/>
          </w:tcPr>
          <w:p w:rsidR="00C14FFB" w:rsidRPr="00C14FFB" w:rsidRDefault="00C14FFB" w:rsidP="00565460">
            <w:pPr>
              <w:spacing w:after="0" w:line="240" w:lineRule="auto"/>
              <w:jc w:val="center"/>
              <w:rPr>
                <w:rFonts w:ascii="Times New Roman" w:eastAsia="Times New Roman" w:hAnsi="Times New Roman"/>
                <w:color w:val="000000"/>
                <w:sz w:val="24"/>
                <w:szCs w:val="24"/>
              </w:rPr>
            </w:pPr>
          </w:p>
        </w:tc>
        <w:tc>
          <w:tcPr>
            <w:tcW w:w="1116" w:type="dxa"/>
            <w:tcBorders>
              <w:bottom w:val="single" w:sz="4" w:space="0" w:color="auto"/>
            </w:tcBorders>
            <w:noWrap/>
            <w:vAlign w:val="center"/>
          </w:tcPr>
          <w:p w:rsidR="00C14FFB" w:rsidRPr="00C14FFB" w:rsidRDefault="00C14FFB" w:rsidP="00565460">
            <w:pPr>
              <w:spacing w:after="0" w:line="240" w:lineRule="auto"/>
              <w:jc w:val="center"/>
              <w:rPr>
                <w:rFonts w:ascii="Times New Roman" w:eastAsia="Times New Roman" w:hAnsi="Times New Roman"/>
                <w:b/>
                <w:color w:val="000000"/>
                <w:sz w:val="24"/>
                <w:szCs w:val="24"/>
              </w:rPr>
            </w:pPr>
            <w:r w:rsidRPr="00C14FFB">
              <w:rPr>
                <w:rFonts w:ascii="Times New Roman" w:eastAsia="Times New Roman" w:hAnsi="Times New Roman"/>
                <w:b/>
                <w:color w:val="000000"/>
                <w:sz w:val="24"/>
                <w:szCs w:val="24"/>
              </w:rPr>
              <w:t>Cu</w:t>
            </w:r>
          </w:p>
        </w:tc>
        <w:tc>
          <w:tcPr>
            <w:tcW w:w="1190" w:type="dxa"/>
            <w:tcBorders>
              <w:bottom w:val="single" w:sz="4" w:space="0" w:color="auto"/>
            </w:tcBorders>
            <w:noWrap/>
            <w:vAlign w:val="center"/>
          </w:tcPr>
          <w:p w:rsidR="00C14FFB" w:rsidRPr="00C14FFB" w:rsidRDefault="00C14FFB" w:rsidP="00565460">
            <w:pPr>
              <w:spacing w:after="0" w:line="240" w:lineRule="auto"/>
              <w:jc w:val="center"/>
              <w:rPr>
                <w:rFonts w:ascii="Times New Roman" w:eastAsia="Times New Roman" w:hAnsi="Times New Roman"/>
                <w:b/>
                <w:color w:val="000000"/>
                <w:sz w:val="24"/>
                <w:szCs w:val="24"/>
              </w:rPr>
            </w:pPr>
            <w:r w:rsidRPr="00C14FFB">
              <w:rPr>
                <w:rFonts w:ascii="Times New Roman" w:eastAsia="Times New Roman" w:hAnsi="Times New Roman"/>
                <w:b/>
                <w:color w:val="000000"/>
                <w:sz w:val="24"/>
                <w:szCs w:val="24"/>
              </w:rPr>
              <w:t>Pb</w:t>
            </w:r>
          </w:p>
        </w:tc>
      </w:tr>
      <w:tr w:rsidR="00D138B7" w:rsidRPr="00C14FFB" w:rsidTr="00D138B7">
        <w:trPr>
          <w:trHeight w:val="300"/>
          <w:jc w:val="center"/>
        </w:trPr>
        <w:tc>
          <w:tcPr>
            <w:tcW w:w="726" w:type="dxa"/>
            <w:tcBorders>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w:t>
            </w:r>
          </w:p>
        </w:tc>
        <w:tc>
          <w:tcPr>
            <w:tcW w:w="963" w:type="dxa"/>
            <w:tcBorders>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0</w:t>
            </w:r>
          </w:p>
        </w:tc>
        <w:tc>
          <w:tcPr>
            <w:tcW w:w="1116" w:type="dxa"/>
            <w:tcBorders>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0,00</w:t>
            </w:r>
          </w:p>
        </w:tc>
        <w:tc>
          <w:tcPr>
            <w:tcW w:w="1190" w:type="dxa"/>
            <w:tcBorders>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0,00</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2</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0,90</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9,64</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3</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20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1,42</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9,56</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4</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30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1,32</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9,64</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5</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40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1,43</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9,56</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6</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50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1,66</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9,56</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7</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60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1,50</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9,54</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8</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70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1,37</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9,48</w:t>
            </w:r>
          </w:p>
        </w:tc>
      </w:tr>
      <w:tr w:rsidR="00D138B7" w:rsidRPr="00C14FFB" w:rsidTr="00D138B7">
        <w:trPr>
          <w:trHeight w:val="300"/>
          <w:jc w:val="center"/>
        </w:trPr>
        <w:tc>
          <w:tcPr>
            <w:tcW w:w="72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w:t>
            </w:r>
          </w:p>
        </w:tc>
        <w:tc>
          <w:tcPr>
            <w:tcW w:w="963"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80</w:t>
            </w:r>
          </w:p>
        </w:tc>
        <w:tc>
          <w:tcPr>
            <w:tcW w:w="1116"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1,61</w:t>
            </w:r>
          </w:p>
        </w:tc>
        <w:tc>
          <w:tcPr>
            <w:tcW w:w="1190" w:type="dxa"/>
            <w:tcBorders>
              <w:top w:val="nil"/>
              <w:bottom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9,43</w:t>
            </w:r>
          </w:p>
        </w:tc>
      </w:tr>
      <w:tr w:rsidR="00D138B7" w:rsidRPr="00C14FFB" w:rsidTr="00D138B7">
        <w:trPr>
          <w:trHeight w:val="300"/>
          <w:jc w:val="center"/>
        </w:trPr>
        <w:tc>
          <w:tcPr>
            <w:tcW w:w="726" w:type="dxa"/>
            <w:tcBorders>
              <w:top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10</w:t>
            </w:r>
          </w:p>
        </w:tc>
        <w:tc>
          <w:tcPr>
            <w:tcW w:w="963" w:type="dxa"/>
            <w:tcBorders>
              <w:top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90</w:t>
            </w:r>
          </w:p>
        </w:tc>
        <w:tc>
          <w:tcPr>
            <w:tcW w:w="1116" w:type="dxa"/>
            <w:tcBorders>
              <w:top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1,81</w:t>
            </w:r>
          </w:p>
        </w:tc>
        <w:tc>
          <w:tcPr>
            <w:tcW w:w="1190" w:type="dxa"/>
            <w:tcBorders>
              <w:top w:val="nil"/>
            </w:tcBorders>
            <w:noWrap/>
            <w:vAlign w:val="center"/>
            <w:hideMark/>
          </w:tcPr>
          <w:p w:rsidR="00C14FFB" w:rsidRPr="00C14FFB" w:rsidRDefault="00C14FFB" w:rsidP="00565460">
            <w:pPr>
              <w:spacing w:after="0" w:line="240" w:lineRule="auto"/>
              <w:jc w:val="center"/>
              <w:rPr>
                <w:rFonts w:ascii="Times New Roman" w:eastAsia="Times New Roman" w:hAnsi="Times New Roman"/>
                <w:color w:val="000000"/>
                <w:sz w:val="24"/>
                <w:szCs w:val="24"/>
              </w:rPr>
            </w:pPr>
            <w:r w:rsidRPr="00C14FFB">
              <w:rPr>
                <w:rFonts w:ascii="Times New Roman" w:eastAsia="Times New Roman" w:hAnsi="Times New Roman"/>
                <w:color w:val="000000"/>
                <w:sz w:val="24"/>
                <w:szCs w:val="24"/>
              </w:rPr>
              <w:t>9,40</w:t>
            </w:r>
          </w:p>
        </w:tc>
      </w:tr>
    </w:tbl>
    <w:p w:rsidR="00164FE6" w:rsidRPr="00164FE6" w:rsidRDefault="00164FE6" w:rsidP="00164FE6">
      <w:pPr>
        <w:spacing w:after="0" w:line="360" w:lineRule="auto"/>
        <w:ind w:firstLine="720"/>
        <w:jc w:val="both"/>
        <w:rPr>
          <w:rFonts w:ascii="Times New Roman" w:hAnsi="Times New Roman"/>
          <w:sz w:val="24"/>
          <w:szCs w:val="24"/>
        </w:rPr>
      </w:pPr>
    </w:p>
    <w:p w:rsidR="00D138B7" w:rsidRDefault="000D5100" w:rsidP="00164FE6">
      <w:pPr>
        <w:spacing w:after="0" w:line="240" w:lineRule="auto"/>
        <w:jc w:val="both"/>
        <w:rPr>
          <w:noProof/>
        </w:rPr>
      </w:pPr>
      <w:r>
        <w:rPr>
          <w:noProof/>
        </w:rPr>
        <w:lastRenderedPageBreak/>
        <w:drawing>
          <wp:inline distT="0" distB="0" distL="0" distR="0" wp14:anchorId="0086DDD3" wp14:editId="47CD0C0C">
            <wp:extent cx="2705100" cy="1811020"/>
            <wp:effectExtent l="0" t="0" r="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64FE6" w:rsidRDefault="007C52F6" w:rsidP="008C455D">
      <w:pPr>
        <w:spacing w:after="0" w:line="240" w:lineRule="auto"/>
        <w:jc w:val="both"/>
        <w:rPr>
          <w:rFonts w:ascii="Times New Roman" w:eastAsia="Times New Roman" w:hAnsi="Times New Roman"/>
          <w:bCs/>
          <w:sz w:val="24"/>
          <w:szCs w:val="24"/>
        </w:rPr>
      </w:pPr>
      <w:r w:rsidRPr="007C52F6">
        <w:rPr>
          <w:rFonts w:ascii="Times New Roman" w:eastAsia="Times New Roman" w:hAnsi="Times New Roman"/>
          <w:b/>
          <w:bCs/>
          <w:sz w:val="24"/>
          <w:szCs w:val="24"/>
        </w:rPr>
        <w:t xml:space="preserve">Gambar 1. </w:t>
      </w:r>
      <w:r w:rsidRPr="007C52F6">
        <w:rPr>
          <w:rFonts w:ascii="Times New Roman" w:eastAsia="Times New Roman" w:hAnsi="Times New Roman"/>
          <w:bCs/>
          <w:sz w:val="24"/>
          <w:szCs w:val="24"/>
        </w:rPr>
        <w:t xml:space="preserve">Kesetimbangan adsorpsi </w:t>
      </w:r>
      <w:proofErr w:type="gramStart"/>
      <w:r w:rsidRPr="007C52F6">
        <w:rPr>
          <w:rFonts w:ascii="Times New Roman" w:eastAsia="Times New Roman" w:hAnsi="Times New Roman"/>
          <w:bCs/>
          <w:sz w:val="24"/>
          <w:szCs w:val="24"/>
        </w:rPr>
        <w:t>Cu(</w:t>
      </w:r>
      <w:proofErr w:type="gramEnd"/>
      <w:r w:rsidRPr="007C52F6">
        <w:rPr>
          <w:rFonts w:ascii="Times New Roman" w:eastAsia="Times New Roman" w:hAnsi="Times New Roman"/>
          <w:bCs/>
          <w:sz w:val="24"/>
          <w:szCs w:val="24"/>
        </w:rPr>
        <w:t>II) dan Pb(II) dengan Biosorben</w:t>
      </w:r>
    </w:p>
    <w:p w:rsidR="007C52F6" w:rsidRDefault="007C52F6" w:rsidP="008C455D">
      <w:pPr>
        <w:spacing w:after="0" w:line="240" w:lineRule="auto"/>
        <w:jc w:val="both"/>
        <w:rPr>
          <w:rFonts w:ascii="Times New Roman" w:eastAsia="Times New Roman" w:hAnsi="Times New Roman"/>
          <w:bCs/>
          <w:sz w:val="24"/>
          <w:szCs w:val="24"/>
        </w:rPr>
      </w:pPr>
    </w:p>
    <w:p w:rsidR="007C52F6" w:rsidRDefault="007C52F6" w:rsidP="007C52F6">
      <w:pPr>
        <w:spacing w:after="0" w:line="360" w:lineRule="auto"/>
        <w:ind w:firstLine="720"/>
        <w:jc w:val="both"/>
        <w:rPr>
          <w:rFonts w:ascii="Times New Roman" w:eastAsia="Times New Roman" w:hAnsi="Times New Roman"/>
          <w:bCs/>
          <w:sz w:val="24"/>
          <w:szCs w:val="24"/>
        </w:rPr>
      </w:pPr>
      <w:r w:rsidRPr="007C52F6">
        <w:rPr>
          <w:rFonts w:ascii="Times New Roman" w:eastAsia="Times New Roman" w:hAnsi="Times New Roman"/>
          <w:bCs/>
          <w:sz w:val="24"/>
          <w:szCs w:val="24"/>
        </w:rPr>
        <w:t xml:space="preserve">Kesetimbangan adsorpsi Cu dan Pb dengan biosorben telah tercapai setelah menit ke-10. Seiring bertambahnya waktu adsorpsi, maka proses adsorpsi setelah menit ke-10 baik </w:t>
      </w:r>
      <w:proofErr w:type="gramStart"/>
      <w:r w:rsidRPr="007C52F6">
        <w:rPr>
          <w:rFonts w:ascii="Times New Roman" w:eastAsia="Times New Roman" w:hAnsi="Times New Roman"/>
          <w:bCs/>
          <w:sz w:val="24"/>
          <w:szCs w:val="24"/>
        </w:rPr>
        <w:t>Cu(</w:t>
      </w:r>
      <w:proofErr w:type="gramEnd"/>
      <w:r w:rsidRPr="007C52F6">
        <w:rPr>
          <w:rFonts w:ascii="Times New Roman" w:eastAsia="Times New Roman" w:hAnsi="Times New Roman"/>
          <w:bCs/>
          <w:sz w:val="24"/>
          <w:szCs w:val="24"/>
        </w:rPr>
        <w:t>II) maupun Pb(II) tidak ada perubahan kapasitas adsorpsi.</w:t>
      </w:r>
    </w:p>
    <w:p w:rsidR="00D40195" w:rsidRPr="00D40195" w:rsidRDefault="00D40195" w:rsidP="00D40195">
      <w:pPr>
        <w:spacing w:after="0" w:line="360" w:lineRule="auto"/>
        <w:jc w:val="right"/>
        <w:rPr>
          <w:rFonts w:ascii="Times New Roman" w:eastAsia="Times New Roman" w:hAnsi="Times New Roman"/>
          <w:bCs/>
          <w:sz w:val="24"/>
          <w:szCs w:val="24"/>
        </w:rPr>
      </w:pPr>
      <m:oMath>
        <m:f>
          <m:fPr>
            <m:ctrlPr>
              <w:rPr>
                <w:rFonts w:ascii="Cambria Math" w:hAnsi="Cambria Math"/>
                <w:sz w:val="24"/>
                <w:szCs w:val="24"/>
              </w:rPr>
            </m:ctrlPr>
          </m:fPr>
          <m:num>
            <m:r>
              <m:rPr>
                <m:sty m:val="p"/>
              </m:rPr>
              <w:rPr>
                <w:rFonts w:ascii="Cambria Math" w:hAnsi="Cambria Math"/>
                <w:sz w:val="24"/>
                <w:szCs w:val="24"/>
              </w:rPr>
              <m:t>ln</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0</m:t>
                    </m:r>
                  </m:sub>
                </m:sSub>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0</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r>
          <m:rPr>
            <m:sty m:val="p"/>
          </m:rPr>
          <w:rPr>
            <w:rFonts w:ascii="Cambria Math" w:hAnsi="Cambria Math"/>
            <w:sz w:val="24"/>
            <w:szCs w:val="24"/>
          </w:rPr>
          <m:t>+K=</m:t>
        </m:r>
        <m:f>
          <m:fPr>
            <m:ctrlPr>
              <w:rPr>
                <w:rFonts w:ascii="Cambria Math" w:eastAsia="Times New Roman" w:hAnsi="Cambria Math"/>
                <w:sz w:val="24"/>
                <w:szCs w:val="24"/>
              </w:rPr>
            </m:ctrlPr>
          </m:fPr>
          <m:num>
            <m:r>
              <m:rPr>
                <m:sty m:val="p"/>
              </m:rPr>
              <w:rPr>
                <w:rFonts w:ascii="Cambria Math" w:eastAsia="Times New Roman" w:hAnsi="Cambria Math"/>
                <w:sz w:val="24"/>
                <w:szCs w:val="24"/>
              </w:rPr>
              <m:t>k.t</m:t>
            </m:r>
          </m:num>
          <m:den>
            <m:sSub>
              <m:sSubPr>
                <m:ctrlPr>
                  <w:rPr>
                    <w:rFonts w:ascii="Cambria Math" w:eastAsia="Times New Roman" w:hAnsi="Cambria Math"/>
                    <w:sz w:val="24"/>
                    <w:szCs w:val="24"/>
                  </w:rPr>
                </m:ctrlPr>
              </m:sSubPr>
              <m:e>
                <m:r>
                  <m:rPr>
                    <m:sty m:val="p"/>
                  </m:rPr>
                  <w:rPr>
                    <w:rFonts w:ascii="Cambria Math" w:eastAsia="Times New Roman" w:hAnsi="Cambria Math"/>
                    <w:sz w:val="24"/>
                    <w:szCs w:val="24"/>
                  </w:rPr>
                  <m:t>C</m:t>
                </m:r>
              </m:e>
              <m:sub>
                <m:r>
                  <m:rPr>
                    <m:sty m:val="p"/>
                  </m:rPr>
                  <w:rPr>
                    <w:rFonts w:ascii="Cambria Math" w:eastAsia="Times New Roman" w:hAnsi="Cambria Math"/>
                    <w:sz w:val="24"/>
                    <w:szCs w:val="24"/>
                  </w:rPr>
                  <m:t>0</m:t>
                </m:r>
              </m:sub>
            </m:sSub>
            <m:r>
              <m:rPr>
                <m:sty m:val="p"/>
              </m:rPr>
              <w:rPr>
                <w:rFonts w:ascii="Cambria Math" w:eastAsia="Times New Roman" w:hAnsi="Cambria Math"/>
                <w:sz w:val="24"/>
                <w:szCs w:val="24"/>
              </w:rPr>
              <m:t>-</m:t>
            </m:r>
            <m:sSub>
              <m:sSubPr>
                <m:ctrlPr>
                  <w:rPr>
                    <w:rFonts w:ascii="Cambria Math" w:eastAsia="Times New Roman" w:hAnsi="Cambria Math"/>
                    <w:sz w:val="24"/>
                    <w:szCs w:val="24"/>
                  </w:rPr>
                </m:ctrlPr>
              </m:sSubPr>
              <m:e>
                <m:r>
                  <m:rPr>
                    <m:sty m:val="p"/>
                  </m:rPr>
                  <w:rPr>
                    <w:rFonts w:ascii="Cambria Math" w:eastAsia="Times New Roman" w:hAnsi="Cambria Math"/>
                    <w:sz w:val="24"/>
                    <w:szCs w:val="24"/>
                  </w:rPr>
                  <m:t>C</m:t>
                </m:r>
              </m:e>
              <m:sub>
                <m:r>
                  <m:rPr>
                    <m:sty m:val="p"/>
                  </m:rPr>
                  <w:rPr>
                    <w:rFonts w:ascii="Cambria Math" w:eastAsia="Times New Roman" w:hAnsi="Cambria Math"/>
                    <w:sz w:val="24"/>
                    <w:szCs w:val="24"/>
                  </w:rPr>
                  <m:t>A</m:t>
                </m:r>
              </m:sub>
            </m:sSub>
          </m:den>
        </m:f>
      </m:oMath>
      <w:r w:rsidRPr="00D40195">
        <w:rPr>
          <w:sz w:val="24"/>
          <w:szCs w:val="24"/>
        </w:rPr>
        <w:tab/>
      </w:r>
      <w:r w:rsidRPr="00D40195">
        <w:rPr>
          <w:sz w:val="24"/>
          <w:szCs w:val="24"/>
        </w:rPr>
        <w:tab/>
      </w:r>
      <w:r w:rsidRPr="00D40195">
        <w:rPr>
          <w:sz w:val="24"/>
          <w:szCs w:val="24"/>
        </w:rPr>
        <w:tab/>
      </w:r>
      <w:r w:rsidRPr="00D40195">
        <w:rPr>
          <w:rFonts w:ascii="Times New Roman" w:hAnsi="Times New Roman"/>
          <w:sz w:val="24"/>
          <w:szCs w:val="24"/>
        </w:rPr>
        <w:t>(1)</w:t>
      </w:r>
    </w:p>
    <w:p w:rsidR="007C52F6" w:rsidRPr="00D40195" w:rsidRDefault="007C52F6" w:rsidP="007C52F6">
      <w:pPr>
        <w:spacing w:after="0" w:line="360" w:lineRule="auto"/>
        <w:ind w:firstLine="720"/>
        <w:jc w:val="both"/>
        <w:rPr>
          <w:rFonts w:ascii="Times New Roman" w:eastAsia="Times New Roman" w:hAnsi="Times New Roman"/>
          <w:sz w:val="24"/>
          <w:szCs w:val="24"/>
        </w:rPr>
      </w:pPr>
      <w:r w:rsidRPr="007C52F6">
        <w:rPr>
          <w:rFonts w:ascii="Times New Roman" w:eastAsia="Times New Roman" w:hAnsi="Times New Roman"/>
          <w:bCs/>
          <w:sz w:val="24"/>
          <w:szCs w:val="24"/>
        </w:rPr>
        <w:t>Dimana C</w:t>
      </w:r>
      <w:r w:rsidRPr="007C52F6">
        <w:rPr>
          <w:rFonts w:ascii="Times New Roman" w:eastAsia="Times New Roman" w:hAnsi="Times New Roman"/>
          <w:bCs/>
          <w:sz w:val="24"/>
          <w:szCs w:val="24"/>
          <w:vertAlign w:val="subscript"/>
        </w:rPr>
        <w:t>0</w:t>
      </w:r>
      <w:r w:rsidRPr="007C52F6">
        <w:rPr>
          <w:rFonts w:ascii="Times New Roman" w:eastAsia="Times New Roman" w:hAnsi="Times New Roman"/>
          <w:bCs/>
          <w:sz w:val="24"/>
          <w:szCs w:val="24"/>
        </w:rPr>
        <w:t xml:space="preserve"> adalah konsentrasi larutan mula-mula, CA adalah konsentrasi larutan pada saat t, t adalah waktu adsorpsi, k adalah konstanta laju adsorpsi dan K adalah konstanta kesetimbangan. Kurva model kinetika Langmuir-Hinshelwood </w:t>
      </w:r>
      <w:r w:rsidRPr="00D40195">
        <w:rPr>
          <w:rFonts w:ascii="Times New Roman" w:eastAsia="Times New Roman" w:hAnsi="Times New Roman"/>
          <w:bCs/>
          <w:sz w:val="24"/>
          <w:szCs w:val="24"/>
        </w:rPr>
        <w:t xml:space="preserve">antara    </w:t>
      </w:r>
      <m:oMath>
        <m:f>
          <m:fPr>
            <m:ctrlPr>
              <w:rPr>
                <w:rFonts w:ascii="Cambria Math" w:hAnsi="Cambria Math"/>
                <w:sz w:val="24"/>
                <w:szCs w:val="24"/>
              </w:rPr>
            </m:ctrlPr>
          </m:fPr>
          <m:num>
            <m:r>
              <m:rPr>
                <m:sty m:val="p"/>
              </m:rPr>
              <w:rPr>
                <w:rFonts w:ascii="Cambria Math" w:hAnsi="Cambria Math"/>
                <w:sz w:val="24"/>
                <w:szCs w:val="24"/>
              </w:rPr>
              <m:t>ln</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0</m:t>
                    </m:r>
                  </m:sub>
                </m:sSub>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0</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oMath>
      <w:r w:rsidRPr="00D40195">
        <w:rPr>
          <w:rFonts w:ascii="Times New Roman" w:eastAsia="Times New Roman" w:hAnsi="Times New Roman"/>
          <w:bCs/>
          <w:sz w:val="24"/>
          <w:szCs w:val="24"/>
        </w:rPr>
        <w:t xml:space="preserve"> </w:t>
      </w:r>
      <w:proofErr w:type="gramStart"/>
      <w:r w:rsidRPr="00D40195">
        <w:rPr>
          <w:rFonts w:ascii="Times New Roman" w:eastAsia="Times New Roman" w:hAnsi="Times New Roman"/>
          <w:bCs/>
          <w:sz w:val="24"/>
          <w:szCs w:val="24"/>
        </w:rPr>
        <w:t xml:space="preserve">vs </w:t>
      </w:r>
      <w:proofErr w:type="gramEnd"/>
      <m:oMath>
        <m:f>
          <m:fPr>
            <m:ctrlPr>
              <w:rPr>
                <w:rFonts w:ascii="Cambria Math" w:eastAsia="Times New Roman" w:hAnsi="Cambria Math"/>
                <w:sz w:val="24"/>
                <w:szCs w:val="24"/>
              </w:rPr>
            </m:ctrlPr>
          </m:fPr>
          <m:num>
            <m:r>
              <m:rPr>
                <m:sty m:val="p"/>
              </m:rPr>
              <w:rPr>
                <w:rFonts w:ascii="Cambria Math" w:eastAsia="Times New Roman" w:hAnsi="Cambria Math"/>
                <w:sz w:val="24"/>
                <w:szCs w:val="24"/>
              </w:rPr>
              <m:t>t</m:t>
            </m:r>
          </m:num>
          <m:den>
            <m:sSub>
              <m:sSubPr>
                <m:ctrlPr>
                  <w:rPr>
                    <w:rFonts w:ascii="Cambria Math" w:eastAsia="Times New Roman" w:hAnsi="Cambria Math"/>
                    <w:sz w:val="24"/>
                    <w:szCs w:val="24"/>
                  </w:rPr>
                </m:ctrlPr>
              </m:sSubPr>
              <m:e>
                <m:r>
                  <m:rPr>
                    <m:sty m:val="p"/>
                  </m:rPr>
                  <w:rPr>
                    <w:rFonts w:ascii="Cambria Math" w:eastAsia="Times New Roman" w:hAnsi="Cambria Math"/>
                    <w:sz w:val="24"/>
                    <w:szCs w:val="24"/>
                  </w:rPr>
                  <m:t>C</m:t>
                </m:r>
              </m:e>
              <m:sub>
                <m:r>
                  <m:rPr>
                    <m:sty m:val="p"/>
                  </m:rPr>
                  <w:rPr>
                    <w:rFonts w:ascii="Cambria Math" w:eastAsia="Times New Roman" w:hAnsi="Cambria Math"/>
                    <w:sz w:val="24"/>
                    <w:szCs w:val="24"/>
                  </w:rPr>
                  <m:t>0</m:t>
                </m:r>
              </m:sub>
            </m:sSub>
            <m:r>
              <m:rPr>
                <m:sty m:val="p"/>
              </m:rPr>
              <w:rPr>
                <w:rFonts w:ascii="Cambria Math" w:eastAsia="Times New Roman" w:hAnsi="Cambria Math"/>
                <w:sz w:val="24"/>
                <w:szCs w:val="24"/>
              </w:rPr>
              <m:t>-</m:t>
            </m:r>
            <m:sSub>
              <m:sSubPr>
                <m:ctrlPr>
                  <w:rPr>
                    <w:rFonts w:ascii="Cambria Math" w:eastAsia="Times New Roman" w:hAnsi="Cambria Math"/>
                    <w:sz w:val="24"/>
                    <w:szCs w:val="24"/>
                  </w:rPr>
                </m:ctrlPr>
              </m:sSubPr>
              <m:e>
                <m:r>
                  <m:rPr>
                    <m:sty m:val="p"/>
                  </m:rPr>
                  <w:rPr>
                    <w:rFonts w:ascii="Cambria Math" w:eastAsia="Times New Roman" w:hAnsi="Cambria Math"/>
                    <w:sz w:val="24"/>
                    <w:szCs w:val="24"/>
                  </w:rPr>
                  <m:t>C</m:t>
                </m:r>
              </m:e>
              <m:sub>
                <m:r>
                  <m:rPr>
                    <m:sty m:val="p"/>
                  </m:rPr>
                  <w:rPr>
                    <w:rFonts w:ascii="Cambria Math" w:eastAsia="Times New Roman" w:hAnsi="Cambria Math"/>
                    <w:sz w:val="24"/>
                    <w:szCs w:val="24"/>
                  </w:rPr>
                  <m:t>A</m:t>
                </m:r>
              </m:sub>
            </m:sSub>
          </m:den>
        </m:f>
      </m:oMath>
      <w:r w:rsidR="00D40195" w:rsidRPr="00D40195">
        <w:rPr>
          <w:rFonts w:ascii="Times New Roman" w:eastAsia="Times New Roman" w:hAnsi="Times New Roman"/>
          <w:sz w:val="24"/>
          <w:szCs w:val="24"/>
        </w:rPr>
        <w:t>, model kinetika Languir-Hinshelwood tersebut merupakan model kinetika dengan orde 1.</w:t>
      </w:r>
    </w:p>
    <w:p w:rsidR="00D40195" w:rsidRPr="00D40195" w:rsidRDefault="00D40195" w:rsidP="00D40195">
      <w:pPr>
        <w:spacing w:after="0" w:line="360" w:lineRule="auto"/>
        <w:jc w:val="right"/>
        <w:rPr>
          <w:rFonts w:ascii="Times New Roman" w:eastAsia="Times New Roman" w:hAnsi="Times New Roman"/>
          <w:bCs/>
          <w:sz w:val="28"/>
          <w:szCs w:val="24"/>
        </w:rPr>
      </w:pPr>
      <m:oMath>
        <m:f>
          <m:fPr>
            <m:ctrlPr>
              <w:rPr>
                <w:rFonts w:ascii="Cambria Math" w:eastAsiaTheme="minorHAnsi" w:hAnsi="Cambria Math"/>
                <w:sz w:val="24"/>
                <w:szCs w:val="24"/>
              </w:rPr>
            </m:ctrlPr>
          </m:fPr>
          <m:num>
            <m:r>
              <m:rPr>
                <m:sty m:val="p"/>
              </m:rPr>
              <w:rPr>
                <w:rFonts w:ascii="Cambria Math" w:hAnsi="Cambria Math"/>
                <w:sz w:val="24"/>
                <w:szCs w:val="24"/>
              </w:rPr>
              <m:t>ln</m:t>
            </m:r>
            <m:f>
              <m:fPr>
                <m:ctrlPr>
                  <w:rPr>
                    <w:rFonts w:ascii="Cambria Math" w:eastAsiaTheme="minorHAnsi" w:hAnsi="Cambria Math"/>
                    <w:sz w:val="24"/>
                    <w:szCs w:val="24"/>
                  </w:rPr>
                </m:ctrlPr>
              </m:fPr>
              <m:num>
                <m:sSub>
                  <m:sSubPr>
                    <m:ctrlPr>
                      <w:rPr>
                        <w:rFonts w:ascii="Cambria Math" w:eastAsiaTheme="minorHAnsi"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0</m:t>
                    </m:r>
                  </m:sub>
                </m:sSub>
              </m:num>
              <m:den>
                <m:sSub>
                  <m:sSubPr>
                    <m:ctrlPr>
                      <w:rPr>
                        <w:rFonts w:ascii="Cambria Math" w:eastAsiaTheme="minorHAnsi"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num>
          <m:den>
            <m:sSub>
              <m:sSubPr>
                <m:ctrlPr>
                  <w:rPr>
                    <w:rFonts w:ascii="Cambria Math" w:eastAsiaTheme="minorHAnsi"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r>
          <m:rPr>
            <m:sty m:val="p"/>
          </m:rPr>
          <w:rPr>
            <w:rFonts w:ascii="Cambria Math" w:eastAsiaTheme="minorHAnsi"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k.t</m:t>
            </m:r>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C</m:t>
                </m:r>
              </m:e>
              <m:sub>
                <m:r>
                  <m:rPr>
                    <m:sty m:val="p"/>
                  </m:rPr>
                  <w:rPr>
                    <w:rFonts w:ascii="Cambria Math" w:eastAsiaTheme="minorEastAsia" w:hAnsi="Cambria Math"/>
                    <w:sz w:val="24"/>
                    <w:szCs w:val="24"/>
                  </w:rPr>
                  <m:t>A</m:t>
                </m:r>
              </m:sub>
            </m:sSub>
          </m:den>
        </m:f>
        <m:r>
          <w:rPr>
            <w:rFonts w:ascii="Cambria Math" w:eastAsiaTheme="minorEastAsia" w:hAnsi="Cambria Math"/>
            <w:sz w:val="24"/>
            <w:szCs w:val="24"/>
          </w:rPr>
          <m:t>+K</m:t>
        </m:r>
      </m:oMath>
      <w:r>
        <w:rPr>
          <w:szCs w:val="24"/>
        </w:rPr>
        <w:tab/>
      </w:r>
      <w:r>
        <w:rPr>
          <w:szCs w:val="24"/>
        </w:rPr>
        <w:tab/>
      </w:r>
      <w:r>
        <w:rPr>
          <w:szCs w:val="24"/>
        </w:rPr>
        <w:tab/>
      </w:r>
      <w:r>
        <w:rPr>
          <w:szCs w:val="24"/>
        </w:rPr>
        <w:tab/>
      </w:r>
      <w:r w:rsidRPr="00D40195">
        <w:rPr>
          <w:rFonts w:ascii="Times New Roman" w:hAnsi="Times New Roman"/>
          <w:sz w:val="24"/>
          <w:szCs w:val="24"/>
        </w:rPr>
        <w:t>(2)</w:t>
      </w:r>
    </w:p>
    <w:p w:rsidR="00164FE6" w:rsidRDefault="00D40195" w:rsidP="00164FE6">
      <w:pPr>
        <w:spacing w:after="0" w:line="360" w:lineRule="auto"/>
        <w:jc w:val="both"/>
        <w:rPr>
          <w:rFonts w:ascii="Times New Roman" w:hAnsi="Times New Roman"/>
          <w:sz w:val="24"/>
        </w:rPr>
      </w:pPr>
      <w:r w:rsidRPr="00D40195">
        <w:rPr>
          <w:rFonts w:ascii="Times New Roman" w:hAnsi="Times New Roman"/>
          <w:sz w:val="24"/>
        </w:rPr>
        <w:t>Kurva model kinetika Santosa</w:t>
      </w:r>
      <w:r w:rsidRPr="00D40195">
        <w:rPr>
          <w:rFonts w:ascii="Times New Roman" w:hAnsi="Times New Roman"/>
          <w:sz w:val="24"/>
          <w:szCs w:val="24"/>
        </w:rPr>
        <w:t xml:space="preserve"> antara  </w:t>
      </w:r>
      <m:oMath>
        <m:f>
          <m:fPr>
            <m:ctrlPr>
              <w:rPr>
                <w:rFonts w:ascii="Cambria Math" w:eastAsiaTheme="minorHAnsi" w:hAnsi="Cambria Math"/>
                <w:sz w:val="24"/>
                <w:szCs w:val="24"/>
              </w:rPr>
            </m:ctrlPr>
          </m:fPr>
          <m:num>
            <m:r>
              <m:rPr>
                <m:sty m:val="p"/>
              </m:rPr>
              <w:rPr>
                <w:rFonts w:ascii="Cambria Math" w:hAnsi="Cambria Math"/>
                <w:sz w:val="24"/>
                <w:szCs w:val="24"/>
              </w:rPr>
              <m:t>ln</m:t>
            </m:r>
            <m:f>
              <m:fPr>
                <m:ctrlPr>
                  <w:rPr>
                    <w:rFonts w:ascii="Cambria Math" w:eastAsiaTheme="minorHAnsi" w:hAnsi="Cambria Math"/>
                    <w:sz w:val="24"/>
                    <w:szCs w:val="24"/>
                  </w:rPr>
                </m:ctrlPr>
              </m:fPr>
              <m:num>
                <m:sSub>
                  <m:sSubPr>
                    <m:ctrlPr>
                      <w:rPr>
                        <w:rFonts w:ascii="Cambria Math" w:eastAsiaTheme="minorHAnsi"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0</m:t>
                    </m:r>
                  </m:sub>
                </m:sSub>
              </m:num>
              <m:den>
                <m:sSub>
                  <m:sSubPr>
                    <m:ctrlPr>
                      <w:rPr>
                        <w:rFonts w:ascii="Cambria Math" w:eastAsiaTheme="minorHAnsi"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num>
          <m:den>
            <m:sSub>
              <m:sSubPr>
                <m:ctrlPr>
                  <w:rPr>
                    <w:rFonts w:ascii="Cambria Math" w:eastAsiaTheme="minorHAnsi"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A</m:t>
                </m:r>
              </m:sub>
            </m:sSub>
          </m:den>
        </m:f>
      </m:oMath>
      <w:r w:rsidRPr="00D40195">
        <w:rPr>
          <w:rFonts w:ascii="Times New Roman" w:hAnsi="Times New Roman"/>
          <w:sz w:val="24"/>
          <w:szCs w:val="24"/>
        </w:rPr>
        <w:t xml:space="preserve"> </w:t>
      </w:r>
      <w:r w:rsidRPr="00D40195">
        <w:rPr>
          <w:rFonts w:ascii="Times New Roman" w:eastAsiaTheme="minorEastAsia" w:hAnsi="Times New Roman"/>
          <w:sz w:val="24"/>
          <w:szCs w:val="24"/>
        </w:rPr>
        <w:t>vs t/</w:t>
      </w:r>
      <w:proofErr w:type="gramStart"/>
      <w:r w:rsidRPr="00D40195">
        <w:rPr>
          <w:rFonts w:ascii="Times New Roman" w:eastAsiaTheme="minorEastAsia" w:hAnsi="Times New Roman"/>
          <w:sz w:val="24"/>
          <w:szCs w:val="24"/>
        </w:rPr>
        <w:t>C</w:t>
      </w:r>
      <w:r w:rsidRPr="00D40195">
        <w:rPr>
          <w:rFonts w:ascii="Times New Roman" w:eastAsiaTheme="minorEastAsia" w:hAnsi="Times New Roman"/>
          <w:sz w:val="24"/>
          <w:szCs w:val="24"/>
          <w:vertAlign w:val="subscript"/>
        </w:rPr>
        <w:t xml:space="preserve">a </w:t>
      </w:r>
      <w:r w:rsidRPr="00D40195">
        <w:rPr>
          <w:rFonts w:ascii="Times New Roman" w:eastAsiaTheme="minorEastAsia" w:hAnsi="Times New Roman"/>
          <w:sz w:val="24"/>
          <w:vertAlign w:val="subscript"/>
        </w:rPr>
        <w:t>,</w:t>
      </w:r>
      <w:proofErr w:type="gramEnd"/>
      <w:r w:rsidRPr="00D40195">
        <w:rPr>
          <w:rFonts w:ascii="Times New Roman" w:eastAsiaTheme="minorEastAsia" w:hAnsi="Times New Roman"/>
          <w:sz w:val="24"/>
          <w:vertAlign w:val="subscript"/>
        </w:rPr>
        <w:t xml:space="preserve"> </w:t>
      </w:r>
      <w:r w:rsidRPr="00D40195">
        <w:rPr>
          <w:rFonts w:ascii="Times New Roman" w:hAnsi="Times New Roman"/>
          <w:sz w:val="24"/>
        </w:rPr>
        <w:t>merupakan model kinetika orde 1 sama seperti model kinetika Langmuir Hinshelwood.</w:t>
      </w:r>
    </w:p>
    <w:p w:rsidR="00536AB6" w:rsidRDefault="00536AB6" w:rsidP="00536AB6">
      <w:pPr>
        <w:pStyle w:val="BodyText"/>
        <w:spacing w:line="360" w:lineRule="auto"/>
        <w:ind w:firstLine="0"/>
        <w:jc w:val="right"/>
        <w:rPr>
          <w:sz w:val="24"/>
          <w:szCs w:val="24"/>
        </w:rPr>
      </w:pPr>
      <m:oMath>
        <m:func>
          <m:funcPr>
            <m:ctrlPr>
              <w:rPr>
                <w:rFonts w:ascii="Cambria Math" w:eastAsiaTheme="minorHAnsi" w:hAnsi="Cambria Math"/>
                <w:sz w:val="24"/>
                <w:szCs w:val="24"/>
              </w:rPr>
            </m:ctrlPr>
          </m:funcPr>
          <m:fName>
            <m:r>
              <m:rPr>
                <m:sty m:val="p"/>
              </m:rPr>
              <w:rPr>
                <w:rFonts w:ascii="Cambria Math" w:eastAsiaTheme="minorHAnsi" w:hAnsi="Cambria Math"/>
                <w:sz w:val="24"/>
                <w:szCs w:val="24"/>
              </w:rPr>
              <m:t>log(</m:t>
            </m:r>
          </m:fName>
          <m:e>
            <m:sSub>
              <m:sSubPr>
                <m:ctrlPr>
                  <w:rPr>
                    <w:rFonts w:ascii="Cambria Math" w:eastAsiaTheme="minorHAnsi" w:hAnsi="Cambria Math"/>
                    <w:sz w:val="24"/>
                    <w:szCs w:val="24"/>
                  </w:rPr>
                </m:ctrlPr>
              </m:sSubPr>
              <m:e>
                <m:r>
                  <m:rPr>
                    <m:sty m:val="p"/>
                  </m:rPr>
                  <w:rPr>
                    <w:rFonts w:ascii="Cambria Math" w:eastAsiaTheme="minorHAnsi" w:hAnsi="Cambria Math"/>
                    <w:sz w:val="24"/>
                    <w:szCs w:val="24"/>
                  </w:rPr>
                  <m:t>q</m:t>
                </m:r>
              </m:e>
              <m:sub>
                <m:r>
                  <m:rPr>
                    <m:sty m:val="p"/>
                  </m:rPr>
                  <w:rPr>
                    <w:rFonts w:ascii="Cambria Math" w:eastAsiaTheme="minorHAnsi" w:hAnsi="Cambria Math"/>
                    <w:sz w:val="24"/>
                    <w:szCs w:val="24"/>
                  </w:rPr>
                  <m:t>e</m:t>
                </m:r>
              </m:sub>
            </m:sSub>
            <m:r>
              <m:rPr>
                <m:sty m:val="p"/>
              </m:rPr>
              <w:rPr>
                <w:rFonts w:ascii="Cambria Math" w:eastAsiaTheme="minorHAnsi" w:hAnsi="Cambria Math"/>
                <w:sz w:val="24"/>
                <w:szCs w:val="24"/>
              </w:rPr>
              <m:t>-</m:t>
            </m:r>
            <m:sSub>
              <m:sSubPr>
                <m:ctrlPr>
                  <w:rPr>
                    <w:rFonts w:ascii="Cambria Math" w:eastAsiaTheme="minorHAnsi" w:hAnsi="Cambria Math"/>
                    <w:sz w:val="24"/>
                    <w:szCs w:val="24"/>
                  </w:rPr>
                </m:ctrlPr>
              </m:sSubPr>
              <m:e>
                <m:r>
                  <m:rPr>
                    <m:sty m:val="p"/>
                  </m:rPr>
                  <w:rPr>
                    <w:rFonts w:ascii="Cambria Math" w:eastAsiaTheme="minorHAnsi" w:hAnsi="Cambria Math"/>
                    <w:sz w:val="24"/>
                    <w:szCs w:val="24"/>
                  </w:rPr>
                  <m:t>q</m:t>
                </m:r>
              </m:e>
              <m:sub>
                <m:r>
                  <m:rPr>
                    <m:sty m:val="p"/>
                  </m:rPr>
                  <w:rPr>
                    <w:rFonts w:ascii="Cambria Math" w:eastAsiaTheme="minorHAnsi" w:hAnsi="Cambria Math"/>
                    <w:sz w:val="24"/>
                    <w:szCs w:val="24"/>
                  </w:rPr>
                  <m:t>t</m:t>
                </m:r>
              </m:sub>
            </m:sSub>
            <m:r>
              <m:rPr>
                <m:sty m:val="p"/>
              </m:rPr>
              <w:rPr>
                <w:rFonts w:ascii="Cambria Math" w:eastAsiaTheme="minorHAnsi" w:hAnsi="Cambria Math"/>
                <w:sz w:val="24"/>
                <w:szCs w:val="24"/>
              </w:rPr>
              <m:t>)</m:t>
            </m:r>
          </m:e>
        </m:func>
        <m:r>
          <m:rPr>
            <m:sty m:val="p"/>
          </m:rPr>
          <w:rPr>
            <w:rFonts w:ascii="Cambria Math" w:eastAsiaTheme="minorHAnsi" w:hAnsi="Cambria Math"/>
            <w:sz w:val="24"/>
            <w:szCs w:val="24"/>
          </w:rPr>
          <m:t>=log</m:t>
        </m:r>
        <m:sSub>
          <m:sSubPr>
            <m:ctrlPr>
              <w:rPr>
                <w:rFonts w:ascii="Cambria Math" w:eastAsiaTheme="minorHAnsi" w:hAnsi="Cambria Math"/>
                <w:sz w:val="24"/>
                <w:szCs w:val="24"/>
              </w:rPr>
            </m:ctrlPr>
          </m:sSubPr>
          <m:e>
            <m:r>
              <m:rPr>
                <m:sty m:val="p"/>
              </m:rPr>
              <w:rPr>
                <w:rFonts w:ascii="Cambria Math" w:eastAsiaTheme="minorHAnsi" w:hAnsi="Cambria Math"/>
                <w:sz w:val="24"/>
                <w:szCs w:val="24"/>
              </w:rPr>
              <m:t>q</m:t>
            </m:r>
          </m:e>
          <m:sub>
            <m:r>
              <m:rPr>
                <m:sty m:val="p"/>
              </m:rPr>
              <w:rPr>
                <w:rFonts w:ascii="Cambria Math" w:eastAsiaTheme="minorHAnsi" w:hAnsi="Cambria Math"/>
                <w:sz w:val="24"/>
                <w:szCs w:val="24"/>
              </w:rPr>
              <m:t>e</m:t>
            </m:r>
          </m:sub>
        </m:sSub>
        <m:r>
          <m:rPr>
            <m:sty m:val="p"/>
          </m:rPr>
          <w:rPr>
            <w:rFonts w:ascii="Cambria Math" w:eastAsiaTheme="minorHAnsi" w:hAnsi="Cambria Math"/>
            <w:sz w:val="24"/>
            <w:szCs w:val="24"/>
          </w:rPr>
          <m:t>-</m:t>
        </m:r>
        <m:d>
          <m:dPr>
            <m:ctrlPr>
              <w:rPr>
                <w:rFonts w:ascii="Cambria Math" w:eastAsiaTheme="minorHAnsi" w:hAnsi="Cambria Math"/>
                <w:sz w:val="24"/>
                <w:szCs w:val="24"/>
              </w:rPr>
            </m:ctrlPr>
          </m:dPr>
          <m:e>
            <m:f>
              <m:fPr>
                <m:ctrlPr>
                  <w:rPr>
                    <w:rFonts w:ascii="Cambria Math" w:eastAsiaTheme="minorHAnsi" w:hAnsi="Cambria Math"/>
                    <w:sz w:val="24"/>
                    <w:szCs w:val="24"/>
                  </w:rPr>
                </m:ctrlPr>
              </m:fPr>
              <m:num>
                <m:r>
                  <m:rPr>
                    <m:sty m:val="p"/>
                  </m:rPr>
                  <w:rPr>
                    <w:rFonts w:ascii="Cambria Math" w:eastAsiaTheme="minorHAnsi" w:hAnsi="Cambria Math"/>
                    <w:sz w:val="24"/>
                    <w:szCs w:val="24"/>
                  </w:rPr>
                  <m:t>k</m:t>
                </m:r>
              </m:num>
              <m:den>
                <m:r>
                  <m:rPr>
                    <m:sty m:val="p"/>
                  </m:rPr>
                  <w:rPr>
                    <w:rFonts w:ascii="Cambria Math" w:eastAsiaTheme="minorHAnsi" w:hAnsi="Cambria Math"/>
                    <w:sz w:val="24"/>
                    <w:szCs w:val="24"/>
                  </w:rPr>
                  <m:t>2,303</m:t>
                </m:r>
              </m:den>
            </m:f>
          </m:e>
        </m:d>
      </m:oMath>
      <w:r>
        <w:rPr>
          <w:sz w:val="24"/>
          <w:szCs w:val="24"/>
        </w:rPr>
        <w:tab/>
      </w:r>
      <w:r w:rsidRPr="00536AB6">
        <w:rPr>
          <w:sz w:val="24"/>
          <w:szCs w:val="24"/>
        </w:rPr>
        <w:t>(3)</w:t>
      </w:r>
    </w:p>
    <w:p w:rsidR="00536AB6" w:rsidRPr="008F74CD" w:rsidRDefault="00536AB6" w:rsidP="00536AB6">
      <w:pPr>
        <w:spacing w:before="240" w:after="0" w:line="360" w:lineRule="auto"/>
        <w:ind w:firstLine="720"/>
        <w:jc w:val="both"/>
        <w:rPr>
          <w:sz w:val="20"/>
          <w:szCs w:val="24"/>
        </w:rPr>
      </w:pPr>
      <w:r w:rsidRPr="00536AB6">
        <w:rPr>
          <w:rFonts w:ascii="Times New Roman" w:hAnsi="Times New Roman"/>
          <w:sz w:val="24"/>
        </w:rPr>
        <w:t>Kapasitas adsorpsi pada kondisi kesetimbangan dinyatakan dengan q</w:t>
      </w:r>
      <w:r w:rsidRPr="00536AB6">
        <w:rPr>
          <w:rFonts w:ascii="Times New Roman" w:hAnsi="Times New Roman"/>
          <w:sz w:val="24"/>
          <w:vertAlign w:val="subscript"/>
        </w:rPr>
        <w:t>e</w:t>
      </w:r>
      <w:r w:rsidRPr="00536AB6">
        <w:rPr>
          <w:rFonts w:ascii="Times New Roman" w:hAnsi="Times New Roman"/>
          <w:sz w:val="24"/>
        </w:rPr>
        <w:t xml:space="preserve"> dan q</w:t>
      </w:r>
      <w:r w:rsidRPr="00536AB6">
        <w:rPr>
          <w:rFonts w:ascii="Times New Roman" w:hAnsi="Times New Roman"/>
          <w:sz w:val="24"/>
          <w:vertAlign w:val="subscript"/>
        </w:rPr>
        <w:t>t</w:t>
      </w:r>
      <w:r w:rsidRPr="00536AB6">
        <w:rPr>
          <w:rFonts w:ascii="Times New Roman" w:hAnsi="Times New Roman"/>
          <w:sz w:val="24"/>
        </w:rPr>
        <w:t xml:space="preserve"> adalah kapasitas adsorpsi pada saat t tertentu. Kurva model kinetika Lagergreen</w:t>
      </w:r>
      <w:r w:rsidRPr="00536AB6">
        <w:rPr>
          <w:rFonts w:ascii="Times New Roman" w:hAnsi="Times New Roman"/>
          <w:sz w:val="24"/>
          <w:szCs w:val="24"/>
        </w:rPr>
        <w:t xml:space="preserve"> antara log (q</w:t>
      </w:r>
      <w:r w:rsidRPr="00536AB6">
        <w:rPr>
          <w:rFonts w:ascii="Times New Roman" w:hAnsi="Times New Roman"/>
          <w:sz w:val="24"/>
          <w:szCs w:val="24"/>
          <w:vertAlign w:val="subscript"/>
        </w:rPr>
        <w:t>e</w:t>
      </w:r>
      <w:r w:rsidRPr="00536AB6">
        <w:rPr>
          <w:rFonts w:ascii="Times New Roman" w:eastAsiaTheme="minorEastAsia" w:hAnsi="Times New Roman"/>
          <w:sz w:val="24"/>
          <w:szCs w:val="24"/>
        </w:rPr>
        <w:t>–</w:t>
      </w:r>
      <w:r w:rsidRPr="00536AB6">
        <w:rPr>
          <w:rFonts w:ascii="Times New Roman" w:hAnsi="Times New Roman"/>
          <w:sz w:val="24"/>
          <w:szCs w:val="24"/>
        </w:rPr>
        <w:t>q</w:t>
      </w:r>
      <w:r w:rsidRPr="00536AB6">
        <w:rPr>
          <w:rFonts w:ascii="Times New Roman" w:hAnsi="Times New Roman"/>
          <w:sz w:val="24"/>
          <w:szCs w:val="24"/>
          <w:vertAlign w:val="subscript"/>
        </w:rPr>
        <w:t>t</w:t>
      </w:r>
      <w:r w:rsidRPr="00536AB6">
        <w:rPr>
          <w:rFonts w:ascii="Times New Roman" w:hAnsi="Times New Roman"/>
          <w:sz w:val="24"/>
          <w:szCs w:val="24"/>
        </w:rPr>
        <w:t xml:space="preserve">) </w:t>
      </w:r>
      <w:r w:rsidRPr="00536AB6">
        <w:rPr>
          <w:rFonts w:ascii="Times New Roman" w:eastAsiaTheme="minorEastAsia" w:hAnsi="Times New Roman"/>
          <w:sz w:val="24"/>
          <w:szCs w:val="24"/>
        </w:rPr>
        <w:t>vs t</w:t>
      </w:r>
      <w:proofErr w:type="gramStart"/>
      <w:r w:rsidRPr="00536AB6">
        <w:rPr>
          <w:rFonts w:ascii="Times New Roman" w:eastAsiaTheme="minorEastAsia" w:hAnsi="Times New Roman"/>
          <w:sz w:val="24"/>
          <w:szCs w:val="24"/>
        </w:rPr>
        <w:t>,  model</w:t>
      </w:r>
      <w:proofErr w:type="gramEnd"/>
      <w:r w:rsidRPr="00536AB6">
        <w:rPr>
          <w:rFonts w:ascii="Times New Roman" w:eastAsiaTheme="minorEastAsia" w:hAnsi="Times New Roman"/>
          <w:sz w:val="24"/>
          <w:szCs w:val="24"/>
        </w:rPr>
        <w:t xml:space="preserve"> kinetika Lagergreen merupakan model kinetika untuk mekanisme adsorpsi dengan pseudo orde 1.</w:t>
      </w:r>
    </w:p>
    <w:p w:rsidR="00536AB6" w:rsidRPr="00536AB6" w:rsidRDefault="00536AB6" w:rsidP="00536AB6">
      <w:pPr>
        <w:pStyle w:val="BodyText"/>
        <w:spacing w:line="360" w:lineRule="auto"/>
        <w:ind w:firstLine="0"/>
        <w:jc w:val="right"/>
        <w:rPr>
          <w:sz w:val="28"/>
          <w:szCs w:val="24"/>
        </w:rPr>
      </w:pPr>
      <m:oMath>
        <m:f>
          <m:fPr>
            <m:ctrlPr>
              <w:rPr>
                <w:rFonts w:ascii="Cambria Math" w:eastAsiaTheme="minorHAnsi" w:hAnsi="Cambria Math"/>
                <w:sz w:val="24"/>
                <w:szCs w:val="24"/>
              </w:rPr>
            </m:ctrlPr>
          </m:fPr>
          <m:num>
            <m:r>
              <m:rPr>
                <m:sty m:val="p"/>
              </m:rPr>
              <w:rPr>
                <w:rFonts w:ascii="Cambria Math" w:hAnsi="Cambria Math"/>
                <w:sz w:val="24"/>
                <w:szCs w:val="24"/>
              </w:rPr>
              <m:t>t</m:t>
            </m:r>
          </m:num>
          <m:den>
            <m:sSub>
              <m:sSubPr>
                <m:ctrlPr>
                  <w:rPr>
                    <w:rFonts w:ascii="Cambria Math" w:eastAsiaTheme="minorHAnsi" w:hAnsi="Cambria Math"/>
                    <w:sz w:val="24"/>
                    <w:szCs w:val="24"/>
                  </w:rPr>
                </m:ctrlPr>
              </m:sSubPr>
              <m:e>
                <m:r>
                  <m:rPr>
                    <m:sty m:val="p"/>
                  </m:rPr>
                  <w:rPr>
                    <w:rFonts w:ascii="Cambria Math" w:eastAsiaTheme="minorHAnsi" w:hAnsi="Cambria Math"/>
                    <w:sz w:val="24"/>
                    <w:szCs w:val="24"/>
                  </w:rPr>
                  <m:t>q</m:t>
                </m:r>
              </m:e>
              <m:sub>
                <m:r>
                  <m:rPr>
                    <m:sty m:val="p"/>
                  </m:rPr>
                  <w:rPr>
                    <w:rFonts w:ascii="Cambria Math" w:eastAsiaTheme="minorHAnsi" w:hAnsi="Cambria Math"/>
                    <w:sz w:val="24"/>
                    <w:szCs w:val="24"/>
                  </w:rPr>
                  <m:t>t</m:t>
                </m:r>
              </m:sub>
            </m:sSub>
          </m:den>
        </m:f>
        <m:r>
          <m:rPr>
            <m:sty m:val="p"/>
          </m:rPr>
          <w:rPr>
            <w:rFonts w:ascii="Cambria Math" w:eastAsiaTheme="minorHAnsi"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1</m:t>
            </m:r>
          </m:num>
          <m:den>
            <m:r>
              <m:rPr>
                <m:sty m:val="p"/>
              </m:rPr>
              <w:rPr>
                <w:rFonts w:ascii="Cambria Math" w:eastAsiaTheme="minorEastAsia" w:hAnsi="Cambria Math"/>
                <w:sz w:val="24"/>
                <w:szCs w:val="24"/>
              </w:rPr>
              <m:t>h</m:t>
            </m:r>
          </m:den>
        </m:f>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1</m:t>
            </m:r>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q</m:t>
                </m:r>
              </m:e>
              <m:sub>
                <m:r>
                  <m:rPr>
                    <m:sty m:val="p"/>
                  </m:rPr>
                  <w:rPr>
                    <w:rFonts w:ascii="Cambria Math" w:eastAsiaTheme="minorEastAsia" w:hAnsi="Cambria Math"/>
                    <w:sz w:val="24"/>
                    <w:szCs w:val="24"/>
                  </w:rPr>
                  <m:t>e</m:t>
                </m:r>
              </m:sub>
            </m:sSub>
          </m:den>
        </m:f>
        <m:r>
          <m:rPr>
            <m:sty m:val="p"/>
          </m:rPr>
          <w:rPr>
            <w:rFonts w:ascii="Cambria Math" w:eastAsiaTheme="minorEastAsia" w:hAnsi="Cambria Math"/>
            <w:sz w:val="24"/>
            <w:szCs w:val="24"/>
          </w:rPr>
          <m:t>t</m:t>
        </m:r>
      </m:oMath>
      <w:r w:rsidRPr="00536AB6">
        <w:rPr>
          <w:sz w:val="24"/>
          <w:szCs w:val="24"/>
        </w:rPr>
        <w:tab/>
      </w:r>
      <w:r w:rsidRPr="00536AB6">
        <w:rPr>
          <w:sz w:val="24"/>
          <w:szCs w:val="24"/>
        </w:rPr>
        <w:tab/>
      </w:r>
      <w:r w:rsidRPr="00536AB6">
        <w:rPr>
          <w:sz w:val="24"/>
          <w:szCs w:val="24"/>
        </w:rPr>
        <w:tab/>
      </w:r>
      <w:r w:rsidRPr="00536AB6">
        <w:rPr>
          <w:sz w:val="24"/>
          <w:szCs w:val="24"/>
        </w:rPr>
        <w:tab/>
        <w:t>(4)</w:t>
      </w:r>
    </w:p>
    <w:p w:rsidR="00536AB6" w:rsidRDefault="00A65EA9" w:rsidP="00A65EA9">
      <w:pPr>
        <w:spacing w:after="0" w:line="360" w:lineRule="auto"/>
        <w:ind w:firstLine="720"/>
        <w:jc w:val="both"/>
        <w:rPr>
          <w:rFonts w:ascii="Times New Roman" w:eastAsiaTheme="minorEastAsia" w:hAnsi="Times New Roman"/>
          <w:sz w:val="24"/>
          <w:szCs w:val="24"/>
        </w:rPr>
      </w:pPr>
      <w:r w:rsidRPr="00A65EA9">
        <w:rPr>
          <w:rFonts w:ascii="Times New Roman" w:hAnsi="Times New Roman"/>
          <w:sz w:val="24"/>
        </w:rPr>
        <w:lastRenderedPageBreak/>
        <w:t>Laju adsorpsi awal dinyatakan dengan simbol h (menit-1) dan k merupakan konstanta laju adsorpsi (g.mg</w:t>
      </w:r>
      <w:r w:rsidRPr="00A65EA9">
        <w:rPr>
          <w:rFonts w:ascii="Times New Roman" w:hAnsi="Times New Roman"/>
          <w:sz w:val="24"/>
          <w:vertAlign w:val="superscript"/>
        </w:rPr>
        <w:t>-1</w:t>
      </w:r>
      <w:r w:rsidRPr="00A65EA9">
        <w:rPr>
          <w:rFonts w:ascii="Times New Roman" w:hAnsi="Times New Roman"/>
          <w:sz w:val="24"/>
        </w:rPr>
        <w:t>.menit</w:t>
      </w:r>
      <w:r w:rsidRPr="00A65EA9">
        <w:rPr>
          <w:rFonts w:ascii="Times New Roman" w:hAnsi="Times New Roman"/>
          <w:sz w:val="24"/>
          <w:vertAlign w:val="superscript"/>
        </w:rPr>
        <w:t>-1</w:t>
      </w:r>
      <w:r w:rsidRPr="00A65EA9">
        <w:rPr>
          <w:rFonts w:ascii="Times New Roman" w:hAnsi="Times New Roman"/>
          <w:sz w:val="24"/>
        </w:rPr>
        <w:t xml:space="preserve">), di </w:t>
      </w:r>
      <w:proofErr w:type="gramStart"/>
      <w:r w:rsidRPr="00A65EA9">
        <w:rPr>
          <w:rFonts w:ascii="Times New Roman" w:hAnsi="Times New Roman"/>
          <w:sz w:val="24"/>
        </w:rPr>
        <w:t xml:space="preserve">mana </w:t>
      </w:r>
      <m:oMath>
        <m:r>
          <m:rPr>
            <m:sty m:val="p"/>
          </m:rPr>
          <w:rPr>
            <w:rFonts w:ascii="Cambria Math" w:eastAsiaTheme="minorEastAsia" w:hAnsi="Cambria Math"/>
            <w:sz w:val="24"/>
            <w:szCs w:val="24"/>
            <w:lang w:val="id-ID"/>
          </w:rPr>
          <m:t>h</m:t>
        </m:r>
        <w:proofErr w:type="gramEnd"/>
        <m:r>
          <m:rPr>
            <m:sty m:val="p"/>
          </m:rPr>
          <w:rPr>
            <w:rFonts w:ascii="Cambria Math" w:eastAsiaTheme="minorEastAsia" w:hAnsi="Cambria Math"/>
            <w:sz w:val="24"/>
            <w:szCs w:val="24"/>
            <w:lang w:val="id-ID"/>
          </w:rPr>
          <m:t>=k</m:t>
        </m:r>
        <m:sSup>
          <m:sSupPr>
            <m:ctrlPr>
              <w:rPr>
                <w:rFonts w:ascii="Cambria Math" w:eastAsiaTheme="minorEastAsia" w:hAnsi="Cambria Math"/>
                <w:sz w:val="24"/>
                <w:szCs w:val="24"/>
                <w:lang w:val="id-ID"/>
              </w:rPr>
            </m:ctrlPr>
          </m:sSupPr>
          <m:e>
            <m:sSub>
              <m:sSubPr>
                <m:ctrlPr>
                  <w:rPr>
                    <w:rFonts w:ascii="Cambria Math" w:eastAsiaTheme="minorEastAsia" w:hAnsi="Cambria Math"/>
                    <w:sz w:val="24"/>
                    <w:szCs w:val="24"/>
                    <w:lang w:val="id-ID"/>
                  </w:rPr>
                </m:ctrlPr>
              </m:sSubPr>
              <m:e>
                <m:r>
                  <m:rPr>
                    <m:sty m:val="p"/>
                  </m:rPr>
                  <w:rPr>
                    <w:rFonts w:ascii="Cambria Math" w:eastAsiaTheme="minorEastAsia" w:hAnsi="Cambria Math"/>
                    <w:sz w:val="24"/>
                    <w:szCs w:val="24"/>
                    <w:lang w:val="id-ID"/>
                  </w:rPr>
                  <m:t>q</m:t>
                </m:r>
              </m:e>
              <m:sub>
                <m:r>
                  <m:rPr>
                    <m:sty m:val="p"/>
                  </m:rPr>
                  <w:rPr>
                    <w:rFonts w:ascii="Cambria Math" w:eastAsiaTheme="minorEastAsia" w:hAnsi="Cambria Math"/>
                    <w:sz w:val="24"/>
                    <w:szCs w:val="24"/>
                    <w:lang w:val="id-ID"/>
                  </w:rPr>
                  <m:t>e</m:t>
                </m:r>
              </m:sub>
            </m:sSub>
          </m:e>
          <m:sup>
            <m:r>
              <m:rPr>
                <m:sty m:val="p"/>
              </m:rPr>
              <w:rPr>
                <w:rFonts w:ascii="Cambria Math" w:eastAsiaTheme="minorEastAsia" w:hAnsi="Cambria Math"/>
                <w:sz w:val="24"/>
                <w:szCs w:val="24"/>
                <w:lang w:val="id-ID"/>
              </w:rPr>
              <m:t>2</m:t>
            </m:r>
          </m:sup>
        </m:sSup>
      </m:oMath>
      <w:r w:rsidR="001C5000">
        <w:rPr>
          <w:rFonts w:ascii="Times New Roman" w:hAnsi="Times New Roman"/>
          <w:sz w:val="24"/>
        </w:rPr>
        <w:t xml:space="preserve">. </w:t>
      </w:r>
      <w:r w:rsidRPr="00A65EA9">
        <w:rPr>
          <w:rFonts w:ascii="Times New Roman" w:hAnsi="Times New Roman"/>
          <w:sz w:val="24"/>
        </w:rPr>
        <w:t>Kurva model kinetika Ho</w:t>
      </w:r>
      <w:r w:rsidRPr="00A65EA9">
        <w:rPr>
          <w:rFonts w:ascii="Times New Roman" w:hAnsi="Times New Roman"/>
          <w:sz w:val="24"/>
          <w:szCs w:val="24"/>
        </w:rPr>
        <w:t xml:space="preserve"> antara t/q</w:t>
      </w:r>
      <w:r w:rsidRPr="00A65EA9">
        <w:rPr>
          <w:rFonts w:ascii="Times New Roman" w:hAnsi="Times New Roman"/>
          <w:sz w:val="24"/>
          <w:szCs w:val="24"/>
          <w:vertAlign w:val="subscript"/>
        </w:rPr>
        <w:t>t</w:t>
      </w:r>
      <w:r w:rsidRPr="00A65EA9">
        <w:rPr>
          <w:rFonts w:ascii="Times New Roman" w:hAnsi="Times New Roman"/>
          <w:sz w:val="24"/>
          <w:szCs w:val="24"/>
        </w:rPr>
        <w:t xml:space="preserve"> </w:t>
      </w:r>
      <w:r w:rsidRPr="00A65EA9">
        <w:rPr>
          <w:rFonts w:ascii="Times New Roman" w:eastAsiaTheme="minorEastAsia" w:hAnsi="Times New Roman"/>
          <w:sz w:val="24"/>
          <w:szCs w:val="24"/>
        </w:rPr>
        <w:t xml:space="preserve">vs </w:t>
      </w:r>
      <w:proofErr w:type="gramStart"/>
      <w:r w:rsidRPr="00A65EA9">
        <w:rPr>
          <w:rFonts w:ascii="Times New Roman" w:eastAsiaTheme="minorEastAsia" w:hAnsi="Times New Roman"/>
          <w:sz w:val="24"/>
          <w:szCs w:val="24"/>
        </w:rPr>
        <w:t>t ,</w:t>
      </w:r>
      <w:proofErr w:type="gramEnd"/>
      <w:r w:rsidRPr="00A65EA9">
        <w:rPr>
          <w:rFonts w:ascii="Times New Roman" w:eastAsiaTheme="minorEastAsia" w:hAnsi="Times New Roman"/>
          <w:sz w:val="24"/>
          <w:szCs w:val="24"/>
        </w:rPr>
        <w:t xml:space="preserve"> model kinetika Ho merupakan model kinetika untuk mekanisme adsorpsi dengan pseudo orde 2.</w:t>
      </w:r>
    </w:p>
    <w:p w:rsidR="008813F9" w:rsidRDefault="008813F9" w:rsidP="008813F9">
      <w:pPr>
        <w:spacing w:after="0" w:line="240" w:lineRule="auto"/>
        <w:ind w:firstLine="720"/>
        <w:jc w:val="both"/>
        <w:rPr>
          <w:rFonts w:ascii="Times New Roman" w:eastAsiaTheme="minorEastAsia" w:hAnsi="Times New Roman"/>
          <w:b/>
          <w:sz w:val="24"/>
          <w:szCs w:val="24"/>
        </w:rPr>
      </w:pPr>
    </w:p>
    <w:p w:rsidR="008813F9" w:rsidRDefault="008813F9" w:rsidP="008813F9">
      <w:pPr>
        <w:spacing w:after="0" w:line="240" w:lineRule="auto"/>
        <w:ind w:firstLine="720"/>
        <w:jc w:val="both"/>
        <w:rPr>
          <w:rFonts w:ascii="Times New Roman" w:eastAsiaTheme="minorEastAsia" w:hAnsi="Times New Roman"/>
          <w:b/>
          <w:sz w:val="24"/>
          <w:szCs w:val="24"/>
        </w:rPr>
      </w:pPr>
    </w:p>
    <w:p w:rsidR="008813F9" w:rsidRDefault="008813F9" w:rsidP="008813F9">
      <w:pPr>
        <w:spacing w:after="0" w:line="240" w:lineRule="auto"/>
        <w:ind w:firstLine="720"/>
        <w:jc w:val="both"/>
        <w:rPr>
          <w:rFonts w:ascii="Times New Roman" w:eastAsiaTheme="minorEastAsia" w:hAnsi="Times New Roman"/>
          <w:b/>
          <w:sz w:val="24"/>
          <w:szCs w:val="24"/>
        </w:rPr>
      </w:pPr>
    </w:p>
    <w:p w:rsidR="008813F9" w:rsidRDefault="008813F9" w:rsidP="008813F9">
      <w:pPr>
        <w:spacing w:after="0" w:line="240" w:lineRule="auto"/>
        <w:ind w:firstLine="720"/>
        <w:jc w:val="both"/>
        <w:rPr>
          <w:rFonts w:ascii="Times New Roman" w:eastAsiaTheme="minorEastAsia" w:hAnsi="Times New Roman"/>
          <w:b/>
          <w:sz w:val="24"/>
          <w:szCs w:val="24"/>
        </w:rPr>
      </w:pPr>
    </w:p>
    <w:p w:rsidR="008813F9" w:rsidRDefault="008813F9" w:rsidP="008813F9">
      <w:pPr>
        <w:spacing w:after="0" w:line="240" w:lineRule="auto"/>
        <w:ind w:firstLine="720"/>
        <w:jc w:val="both"/>
        <w:rPr>
          <w:rFonts w:ascii="Times New Roman" w:eastAsiaTheme="minorEastAsia" w:hAnsi="Times New Roman"/>
          <w:b/>
          <w:sz w:val="24"/>
          <w:szCs w:val="24"/>
        </w:rPr>
      </w:pPr>
    </w:p>
    <w:p w:rsidR="008813F9" w:rsidRDefault="008813F9" w:rsidP="008813F9">
      <w:pPr>
        <w:spacing w:after="0" w:line="240" w:lineRule="auto"/>
        <w:ind w:firstLine="720"/>
        <w:jc w:val="both"/>
        <w:rPr>
          <w:rFonts w:ascii="Times New Roman" w:eastAsiaTheme="minorEastAsia" w:hAnsi="Times New Roman"/>
          <w:b/>
          <w:sz w:val="24"/>
          <w:szCs w:val="24"/>
        </w:rPr>
        <w:sectPr w:rsidR="008813F9" w:rsidSect="005E743F">
          <w:pgSz w:w="11907" w:h="16839" w:code="9"/>
          <w:pgMar w:top="1440" w:right="1440" w:bottom="1440" w:left="1440" w:header="720" w:footer="720" w:gutter="0"/>
          <w:cols w:num="2" w:space="720"/>
          <w:docGrid w:linePitch="360"/>
        </w:sectPr>
      </w:pPr>
    </w:p>
    <w:p w:rsidR="008813F9" w:rsidRDefault="008813F9" w:rsidP="008813F9">
      <w:pPr>
        <w:spacing w:after="0" w:line="240" w:lineRule="auto"/>
        <w:ind w:firstLine="720"/>
        <w:jc w:val="both"/>
        <w:rPr>
          <w:rFonts w:ascii="Times New Roman" w:eastAsiaTheme="minorEastAsia" w:hAnsi="Times New Roman"/>
          <w:b/>
          <w:sz w:val="24"/>
          <w:szCs w:val="24"/>
        </w:rPr>
      </w:pPr>
    </w:p>
    <w:p w:rsidR="008813F9" w:rsidRDefault="008813F9" w:rsidP="008813F9">
      <w:pPr>
        <w:spacing w:after="0" w:line="240" w:lineRule="auto"/>
        <w:ind w:firstLine="720"/>
        <w:jc w:val="both"/>
        <w:rPr>
          <w:rFonts w:ascii="Times New Roman" w:eastAsiaTheme="minorEastAsia" w:hAnsi="Times New Roman"/>
          <w:sz w:val="24"/>
          <w:szCs w:val="24"/>
        </w:rPr>
      </w:pPr>
      <w:r w:rsidRPr="008813F9">
        <w:rPr>
          <w:rFonts w:ascii="Times New Roman" w:eastAsiaTheme="minorEastAsia" w:hAnsi="Times New Roman"/>
          <w:b/>
          <w:sz w:val="24"/>
          <w:szCs w:val="24"/>
        </w:rPr>
        <w:t>Tabel 2.</w:t>
      </w:r>
      <w:r w:rsidRPr="008813F9">
        <w:rPr>
          <w:rFonts w:ascii="Times New Roman" w:eastAsiaTheme="minorEastAsia" w:hAnsi="Times New Roman"/>
          <w:sz w:val="24"/>
          <w:szCs w:val="24"/>
        </w:rPr>
        <w:t xml:space="preserve"> Penentuan model kinetika adsorpsi </w:t>
      </w:r>
      <w:proofErr w:type="gramStart"/>
      <w:r w:rsidRPr="008813F9">
        <w:rPr>
          <w:rFonts w:ascii="Times New Roman" w:eastAsiaTheme="minorEastAsia" w:hAnsi="Times New Roman"/>
          <w:sz w:val="24"/>
          <w:szCs w:val="24"/>
        </w:rPr>
        <w:t>Cu(</w:t>
      </w:r>
      <w:proofErr w:type="gramEnd"/>
      <w:r w:rsidRPr="008813F9">
        <w:rPr>
          <w:rFonts w:ascii="Times New Roman" w:eastAsiaTheme="minorEastAsia" w:hAnsi="Times New Roman"/>
          <w:sz w:val="24"/>
          <w:szCs w:val="24"/>
        </w:rPr>
        <w:t>II) dan Pb(II)</w:t>
      </w:r>
    </w:p>
    <w:tbl>
      <w:tblPr>
        <w:tblW w:w="7682" w:type="dxa"/>
        <w:jc w:val="center"/>
        <w:tblBorders>
          <w:top w:val="single" w:sz="4" w:space="0" w:color="auto"/>
          <w:bottom w:val="single" w:sz="4" w:space="0" w:color="auto"/>
        </w:tblBorders>
        <w:tblLook w:val="04A0" w:firstRow="1" w:lastRow="0" w:firstColumn="1" w:lastColumn="0" w:noHBand="0" w:noVBand="1"/>
      </w:tblPr>
      <w:tblGrid>
        <w:gridCol w:w="2540"/>
        <w:gridCol w:w="2585"/>
        <w:gridCol w:w="1281"/>
        <w:gridCol w:w="1276"/>
      </w:tblGrid>
      <w:tr w:rsidR="008813F9" w:rsidRPr="008813F9" w:rsidTr="00565460">
        <w:trPr>
          <w:trHeight w:val="300"/>
          <w:jc w:val="center"/>
        </w:trPr>
        <w:tc>
          <w:tcPr>
            <w:tcW w:w="2540" w:type="dxa"/>
            <w:vMerge w:val="restart"/>
            <w:tcBorders>
              <w:top w:val="single" w:sz="4" w:space="0" w:color="auto"/>
              <w:bottom w:val="single" w:sz="4" w:space="0" w:color="auto"/>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Model kinetika</w:t>
            </w:r>
          </w:p>
        </w:tc>
        <w:tc>
          <w:tcPr>
            <w:tcW w:w="2585" w:type="dxa"/>
            <w:vMerge w:val="restart"/>
            <w:tcBorders>
              <w:top w:val="single" w:sz="4" w:space="0" w:color="auto"/>
              <w:bottom w:val="single" w:sz="4" w:space="0" w:color="auto"/>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Parameter</w:t>
            </w:r>
          </w:p>
        </w:tc>
        <w:tc>
          <w:tcPr>
            <w:tcW w:w="2557" w:type="dxa"/>
            <w:gridSpan w:val="2"/>
            <w:tcBorders>
              <w:top w:val="single" w:sz="4" w:space="0" w:color="auto"/>
              <w:bottom w:val="single" w:sz="4" w:space="0" w:color="auto"/>
            </w:tcBorders>
            <w:noWrap/>
            <w:vAlign w:val="bottom"/>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Adsorpsi</w:t>
            </w:r>
          </w:p>
        </w:tc>
      </w:tr>
      <w:tr w:rsidR="008813F9" w:rsidRPr="008813F9" w:rsidTr="00565460">
        <w:trPr>
          <w:trHeight w:val="300"/>
          <w:jc w:val="center"/>
        </w:trPr>
        <w:tc>
          <w:tcPr>
            <w:tcW w:w="0" w:type="auto"/>
            <w:vMerge/>
            <w:tcBorders>
              <w:top w:val="single" w:sz="4" w:space="0" w:color="auto"/>
              <w:bottom w:val="single" w:sz="4" w:space="0" w:color="auto"/>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0" w:type="auto"/>
            <w:vMerge/>
            <w:tcBorders>
              <w:top w:val="single" w:sz="4" w:space="0" w:color="auto"/>
              <w:bottom w:val="single" w:sz="4" w:space="0" w:color="auto"/>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1281" w:type="dxa"/>
            <w:tcBorders>
              <w:top w:val="single" w:sz="4" w:space="0" w:color="auto"/>
              <w:bottom w:val="single" w:sz="4" w:space="0" w:color="auto"/>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Cu</w:t>
            </w:r>
          </w:p>
        </w:tc>
        <w:tc>
          <w:tcPr>
            <w:tcW w:w="1276" w:type="dxa"/>
            <w:tcBorders>
              <w:top w:val="single" w:sz="4" w:space="0" w:color="auto"/>
              <w:bottom w:val="single" w:sz="4" w:space="0" w:color="auto"/>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Pb</w:t>
            </w:r>
          </w:p>
        </w:tc>
      </w:tr>
      <w:tr w:rsidR="008813F9" w:rsidRPr="008813F9" w:rsidTr="00565460">
        <w:trPr>
          <w:trHeight w:val="300"/>
          <w:jc w:val="center"/>
        </w:trPr>
        <w:tc>
          <w:tcPr>
            <w:tcW w:w="2540" w:type="dxa"/>
            <w:vMerge w:val="restart"/>
            <w:tcBorders>
              <w:top w:val="single" w:sz="4" w:space="0" w:color="auto"/>
              <w:bottom w:val="nil"/>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Langmuir-Hinshelwood (Pers.1)</w:t>
            </w:r>
          </w:p>
        </w:tc>
        <w:tc>
          <w:tcPr>
            <w:tcW w:w="2585" w:type="dxa"/>
            <w:tcBorders>
              <w:top w:val="single" w:sz="4" w:space="0" w:color="auto"/>
              <w:bottom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R</w:t>
            </w:r>
            <w:r w:rsidRPr="008813F9">
              <w:rPr>
                <w:rFonts w:ascii="Times New Roman" w:eastAsia="Times New Roman" w:hAnsi="Times New Roman"/>
                <w:color w:val="000000"/>
                <w:sz w:val="24"/>
                <w:szCs w:val="24"/>
                <w:vertAlign w:val="superscript"/>
              </w:rPr>
              <w:t>2</w:t>
            </w:r>
          </w:p>
        </w:tc>
        <w:tc>
          <w:tcPr>
            <w:tcW w:w="1281" w:type="dxa"/>
            <w:tcBorders>
              <w:top w:val="single" w:sz="4" w:space="0" w:color="auto"/>
              <w:bottom w:val="nil"/>
            </w:tcBorders>
            <w:noWrap/>
            <w:vAlign w:val="center"/>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0,3801</w:t>
            </w:r>
          </w:p>
        </w:tc>
        <w:tc>
          <w:tcPr>
            <w:tcW w:w="1276"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0,1579</w:t>
            </w:r>
          </w:p>
        </w:tc>
      </w:tr>
      <w:tr w:rsidR="008813F9" w:rsidRPr="008813F9" w:rsidTr="00565460">
        <w:trPr>
          <w:trHeight w:val="300"/>
          <w:jc w:val="center"/>
        </w:trPr>
        <w:tc>
          <w:tcPr>
            <w:tcW w:w="0" w:type="auto"/>
            <w:vMerge/>
            <w:tcBorders>
              <w:top w:val="nil"/>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top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k (menit</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1,80x10</w:t>
            </w:r>
            <w:r w:rsidRPr="008813F9">
              <w:rPr>
                <w:rFonts w:ascii="Times New Roman" w:eastAsia="Times New Roman" w:hAnsi="Times New Roman"/>
                <w:color w:val="000000"/>
                <w:sz w:val="24"/>
                <w:szCs w:val="24"/>
                <w:vertAlign w:val="superscript"/>
              </w:rPr>
              <w:t>-3</w:t>
            </w:r>
          </w:p>
        </w:tc>
        <w:tc>
          <w:tcPr>
            <w:tcW w:w="1276"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1,30x10</w:t>
            </w:r>
            <w:r w:rsidRPr="008813F9">
              <w:rPr>
                <w:rFonts w:ascii="Times New Roman" w:eastAsia="Times New Roman" w:hAnsi="Times New Roman"/>
                <w:color w:val="000000"/>
                <w:sz w:val="24"/>
                <w:szCs w:val="24"/>
                <w:vertAlign w:val="superscript"/>
              </w:rPr>
              <w:t>-2</w:t>
            </w:r>
          </w:p>
        </w:tc>
      </w:tr>
      <w:tr w:rsidR="008813F9" w:rsidRPr="008813F9" w:rsidTr="00565460">
        <w:trPr>
          <w:trHeight w:val="300"/>
          <w:jc w:val="center"/>
        </w:trPr>
        <w:tc>
          <w:tcPr>
            <w:tcW w:w="0" w:type="auto"/>
            <w:vMerge/>
            <w:tcBorders>
              <w:bottom w:val="single" w:sz="4" w:space="0" w:color="auto"/>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bottom w:val="single" w:sz="4" w:space="0" w:color="auto"/>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K (L.mol</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bottom w:val="single" w:sz="4" w:space="0" w:color="auto"/>
            </w:tcBorders>
            <w:noWrap/>
            <w:vAlign w:val="center"/>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-1,23x10</w:t>
            </w:r>
            <w:r w:rsidRPr="008813F9">
              <w:rPr>
                <w:rFonts w:ascii="Times New Roman" w:eastAsia="Times New Roman" w:hAnsi="Times New Roman"/>
                <w:color w:val="000000"/>
                <w:sz w:val="24"/>
                <w:szCs w:val="24"/>
                <w:vertAlign w:val="superscript"/>
              </w:rPr>
              <w:t>4</w:t>
            </w:r>
          </w:p>
        </w:tc>
        <w:tc>
          <w:tcPr>
            <w:tcW w:w="1276" w:type="dxa"/>
            <w:tcBorders>
              <w:bottom w:val="single" w:sz="4" w:space="0" w:color="auto"/>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-9,55x10</w:t>
            </w:r>
            <w:r w:rsidRPr="008813F9">
              <w:rPr>
                <w:rFonts w:ascii="Times New Roman" w:eastAsia="Times New Roman" w:hAnsi="Times New Roman"/>
                <w:color w:val="000000"/>
                <w:sz w:val="24"/>
                <w:szCs w:val="24"/>
                <w:vertAlign w:val="superscript"/>
              </w:rPr>
              <w:t>4</w:t>
            </w:r>
          </w:p>
        </w:tc>
      </w:tr>
      <w:tr w:rsidR="008813F9" w:rsidRPr="008813F9" w:rsidTr="00565460">
        <w:trPr>
          <w:trHeight w:val="300"/>
          <w:jc w:val="center"/>
        </w:trPr>
        <w:tc>
          <w:tcPr>
            <w:tcW w:w="2540" w:type="dxa"/>
            <w:vMerge w:val="restart"/>
            <w:tcBorders>
              <w:top w:val="single" w:sz="4" w:space="0" w:color="auto"/>
              <w:bottom w:val="nil"/>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Santosa (Pers.2)</w:t>
            </w:r>
          </w:p>
        </w:tc>
        <w:tc>
          <w:tcPr>
            <w:tcW w:w="2585" w:type="dxa"/>
            <w:tcBorders>
              <w:top w:val="single" w:sz="4" w:space="0" w:color="auto"/>
              <w:bottom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R</w:t>
            </w:r>
            <w:r w:rsidRPr="008813F9">
              <w:rPr>
                <w:rFonts w:ascii="Times New Roman" w:eastAsia="Times New Roman" w:hAnsi="Times New Roman"/>
                <w:color w:val="000000"/>
                <w:sz w:val="24"/>
                <w:szCs w:val="24"/>
                <w:vertAlign w:val="superscript"/>
              </w:rPr>
              <w:t>2</w:t>
            </w:r>
          </w:p>
        </w:tc>
        <w:tc>
          <w:tcPr>
            <w:tcW w:w="1281"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0,664</w:t>
            </w:r>
          </w:p>
        </w:tc>
        <w:tc>
          <w:tcPr>
            <w:tcW w:w="1276"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0,020</w:t>
            </w:r>
          </w:p>
        </w:tc>
      </w:tr>
      <w:tr w:rsidR="008813F9" w:rsidRPr="008813F9" w:rsidTr="00565460">
        <w:trPr>
          <w:trHeight w:val="300"/>
          <w:jc w:val="center"/>
        </w:trPr>
        <w:tc>
          <w:tcPr>
            <w:tcW w:w="0" w:type="auto"/>
            <w:vMerge/>
            <w:tcBorders>
              <w:top w:val="nil"/>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top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k (menit</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2,40x10</w:t>
            </w:r>
            <w:r w:rsidRPr="008813F9">
              <w:rPr>
                <w:rFonts w:ascii="Times New Roman" w:eastAsia="Times New Roman" w:hAnsi="Times New Roman"/>
                <w:color w:val="000000"/>
                <w:sz w:val="24"/>
                <w:szCs w:val="24"/>
                <w:vertAlign w:val="superscript"/>
              </w:rPr>
              <w:t>-3</w:t>
            </w:r>
          </w:p>
        </w:tc>
        <w:tc>
          <w:tcPr>
            <w:tcW w:w="1276"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7,30x10</w:t>
            </w:r>
            <w:r w:rsidRPr="008813F9">
              <w:rPr>
                <w:rFonts w:ascii="Times New Roman" w:eastAsia="Times New Roman" w:hAnsi="Times New Roman"/>
                <w:color w:val="000000"/>
                <w:sz w:val="24"/>
                <w:szCs w:val="24"/>
                <w:vertAlign w:val="superscript"/>
              </w:rPr>
              <w:t>-3</w:t>
            </w:r>
          </w:p>
        </w:tc>
      </w:tr>
      <w:tr w:rsidR="008813F9" w:rsidRPr="008813F9" w:rsidTr="00565460">
        <w:trPr>
          <w:trHeight w:val="300"/>
          <w:jc w:val="center"/>
        </w:trPr>
        <w:tc>
          <w:tcPr>
            <w:tcW w:w="0" w:type="auto"/>
            <w:vMerge/>
            <w:tcBorders>
              <w:bottom w:val="single" w:sz="4" w:space="0" w:color="auto"/>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bottom w:val="single" w:sz="4" w:space="0" w:color="auto"/>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K (L.mol</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bottom w:val="single" w:sz="4" w:space="0" w:color="auto"/>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2,64x10</w:t>
            </w:r>
            <w:r w:rsidRPr="008813F9">
              <w:rPr>
                <w:rFonts w:ascii="Times New Roman" w:eastAsia="Times New Roman" w:hAnsi="Times New Roman"/>
                <w:color w:val="000000"/>
                <w:sz w:val="24"/>
                <w:szCs w:val="24"/>
                <w:vertAlign w:val="superscript"/>
              </w:rPr>
              <w:t>2</w:t>
            </w:r>
          </w:p>
        </w:tc>
        <w:tc>
          <w:tcPr>
            <w:tcW w:w="1276" w:type="dxa"/>
            <w:tcBorders>
              <w:bottom w:val="single" w:sz="4" w:space="0" w:color="auto"/>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2,30x10</w:t>
            </w:r>
            <w:r w:rsidRPr="008813F9">
              <w:rPr>
                <w:rFonts w:ascii="Times New Roman" w:eastAsia="Times New Roman" w:hAnsi="Times New Roman"/>
                <w:color w:val="000000"/>
                <w:sz w:val="24"/>
                <w:szCs w:val="24"/>
                <w:vertAlign w:val="superscript"/>
              </w:rPr>
              <w:t>5</w:t>
            </w:r>
          </w:p>
        </w:tc>
      </w:tr>
      <w:tr w:rsidR="008813F9" w:rsidRPr="008813F9" w:rsidTr="00565460">
        <w:trPr>
          <w:trHeight w:val="300"/>
          <w:jc w:val="center"/>
        </w:trPr>
        <w:tc>
          <w:tcPr>
            <w:tcW w:w="2540" w:type="dxa"/>
            <w:vMerge w:val="restart"/>
            <w:tcBorders>
              <w:top w:val="single" w:sz="4" w:space="0" w:color="auto"/>
              <w:bottom w:val="nil"/>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Lagergreen (Pers.3)</w:t>
            </w:r>
          </w:p>
        </w:tc>
        <w:tc>
          <w:tcPr>
            <w:tcW w:w="2585" w:type="dxa"/>
            <w:tcBorders>
              <w:top w:val="single" w:sz="4" w:space="0" w:color="auto"/>
              <w:bottom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R</w:t>
            </w:r>
            <w:r w:rsidRPr="008813F9">
              <w:rPr>
                <w:rFonts w:ascii="Times New Roman" w:eastAsia="Times New Roman" w:hAnsi="Times New Roman"/>
                <w:color w:val="000000"/>
                <w:sz w:val="24"/>
                <w:szCs w:val="24"/>
                <w:vertAlign w:val="superscript"/>
              </w:rPr>
              <w:t>2</w:t>
            </w:r>
          </w:p>
        </w:tc>
        <w:tc>
          <w:tcPr>
            <w:tcW w:w="1281"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0,1834</w:t>
            </w:r>
          </w:p>
        </w:tc>
        <w:tc>
          <w:tcPr>
            <w:tcW w:w="1276"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0,0462</w:t>
            </w:r>
          </w:p>
        </w:tc>
      </w:tr>
      <w:tr w:rsidR="008813F9" w:rsidRPr="008813F9" w:rsidTr="00565460">
        <w:trPr>
          <w:trHeight w:val="300"/>
          <w:jc w:val="center"/>
        </w:trPr>
        <w:tc>
          <w:tcPr>
            <w:tcW w:w="0" w:type="auto"/>
            <w:vMerge/>
            <w:tcBorders>
              <w:top w:val="nil"/>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top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k (menit</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1,06x10</w:t>
            </w:r>
            <w:r w:rsidRPr="008813F9">
              <w:rPr>
                <w:rFonts w:ascii="Times New Roman" w:eastAsia="Times New Roman" w:hAnsi="Times New Roman"/>
                <w:color w:val="000000"/>
                <w:sz w:val="24"/>
                <w:szCs w:val="24"/>
                <w:vertAlign w:val="superscript"/>
              </w:rPr>
              <w:t>-2</w:t>
            </w:r>
          </w:p>
        </w:tc>
        <w:tc>
          <w:tcPr>
            <w:tcW w:w="1276"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1,36x10</w:t>
            </w:r>
            <w:r w:rsidRPr="008813F9">
              <w:rPr>
                <w:rFonts w:ascii="Times New Roman" w:eastAsia="Times New Roman" w:hAnsi="Times New Roman"/>
                <w:color w:val="000000"/>
                <w:sz w:val="24"/>
                <w:szCs w:val="24"/>
                <w:vertAlign w:val="superscript"/>
              </w:rPr>
              <w:t>-2</w:t>
            </w:r>
          </w:p>
        </w:tc>
      </w:tr>
      <w:tr w:rsidR="008813F9" w:rsidRPr="008813F9" w:rsidTr="00565460">
        <w:trPr>
          <w:trHeight w:val="300"/>
          <w:jc w:val="center"/>
        </w:trPr>
        <w:tc>
          <w:tcPr>
            <w:tcW w:w="0" w:type="auto"/>
            <w:vMerge/>
            <w:tcBorders>
              <w:bottom w:val="single" w:sz="4" w:space="0" w:color="auto"/>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bottom w:val="single" w:sz="4" w:space="0" w:color="auto"/>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q</w:t>
            </w:r>
            <w:r w:rsidRPr="008813F9">
              <w:rPr>
                <w:rFonts w:ascii="Times New Roman" w:eastAsia="Times New Roman" w:hAnsi="Times New Roman"/>
                <w:color w:val="000000"/>
                <w:sz w:val="24"/>
                <w:szCs w:val="24"/>
                <w:vertAlign w:val="subscript"/>
              </w:rPr>
              <w:t>e</w:t>
            </w:r>
            <w:r w:rsidRPr="008813F9">
              <w:rPr>
                <w:rFonts w:ascii="Times New Roman" w:eastAsia="Times New Roman" w:hAnsi="Times New Roman"/>
                <w:color w:val="000000"/>
                <w:sz w:val="24"/>
                <w:szCs w:val="24"/>
              </w:rPr>
              <w:t xml:space="preserve"> (mg.g</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bottom w:val="single" w:sz="4" w:space="0" w:color="auto"/>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1,33</w:t>
            </w:r>
          </w:p>
        </w:tc>
        <w:tc>
          <w:tcPr>
            <w:tcW w:w="1276" w:type="dxa"/>
            <w:tcBorders>
              <w:bottom w:val="single" w:sz="4" w:space="0" w:color="auto"/>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3,89x10</w:t>
            </w:r>
            <w:r w:rsidRPr="008813F9">
              <w:rPr>
                <w:rFonts w:ascii="Times New Roman" w:eastAsia="Times New Roman" w:hAnsi="Times New Roman"/>
                <w:color w:val="000000"/>
                <w:sz w:val="24"/>
                <w:szCs w:val="24"/>
                <w:vertAlign w:val="superscript"/>
              </w:rPr>
              <w:t>-1</w:t>
            </w:r>
          </w:p>
        </w:tc>
      </w:tr>
      <w:tr w:rsidR="008813F9" w:rsidRPr="008813F9" w:rsidTr="00565460">
        <w:trPr>
          <w:trHeight w:val="300"/>
          <w:jc w:val="center"/>
        </w:trPr>
        <w:tc>
          <w:tcPr>
            <w:tcW w:w="2540" w:type="dxa"/>
            <w:vMerge w:val="restart"/>
            <w:tcBorders>
              <w:top w:val="single" w:sz="4" w:space="0" w:color="auto"/>
              <w:bottom w:val="nil"/>
            </w:tcBorders>
            <w:noWrap/>
            <w:vAlign w:val="center"/>
            <w:hideMark/>
          </w:tcPr>
          <w:p w:rsidR="008813F9" w:rsidRPr="008813F9" w:rsidRDefault="008813F9" w:rsidP="008813F9">
            <w:pPr>
              <w:spacing w:after="0" w:line="240" w:lineRule="auto"/>
              <w:jc w:val="center"/>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Ho (Pers.4)</w:t>
            </w:r>
          </w:p>
        </w:tc>
        <w:tc>
          <w:tcPr>
            <w:tcW w:w="2585" w:type="dxa"/>
            <w:tcBorders>
              <w:top w:val="single" w:sz="4" w:space="0" w:color="auto"/>
              <w:bottom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R</w:t>
            </w:r>
            <w:r w:rsidRPr="008813F9">
              <w:rPr>
                <w:rFonts w:ascii="Times New Roman" w:eastAsia="Times New Roman" w:hAnsi="Times New Roman"/>
                <w:color w:val="000000"/>
                <w:sz w:val="24"/>
                <w:szCs w:val="24"/>
                <w:vertAlign w:val="superscript"/>
              </w:rPr>
              <w:t>2</w:t>
            </w:r>
          </w:p>
        </w:tc>
        <w:tc>
          <w:tcPr>
            <w:tcW w:w="1281"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0,9608</w:t>
            </w:r>
          </w:p>
        </w:tc>
        <w:tc>
          <w:tcPr>
            <w:tcW w:w="1276" w:type="dxa"/>
            <w:tcBorders>
              <w:top w:val="single" w:sz="4" w:space="0" w:color="auto"/>
              <w:bottom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0,9980</w:t>
            </w:r>
          </w:p>
        </w:tc>
      </w:tr>
      <w:tr w:rsidR="008813F9" w:rsidRPr="008813F9" w:rsidTr="00565460">
        <w:trPr>
          <w:trHeight w:val="300"/>
          <w:jc w:val="center"/>
        </w:trPr>
        <w:tc>
          <w:tcPr>
            <w:tcW w:w="0" w:type="auto"/>
            <w:vMerge/>
            <w:tcBorders>
              <w:top w:val="nil"/>
            </w:tcBorders>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tcBorders>
              <w:top w:val="nil"/>
            </w:tcBorders>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k (g.mg</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.menit</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9,50x10</w:t>
            </w:r>
            <w:r w:rsidRPr="008813F9">
              <w:rPr>
                <w:rFonts w:ascii="Times New Roman" w:eastAsia="Times New Roman" w:hAnsi="Times New Roman"/>
                <w:color w:val="000000"/>
                <w:sz w:val="24"/>
                <w:szCs w:val="24"/>
                <w:vertAlign w:val="superscript"/>
              </w:rPr>
              <w:t>-2</w:t>
            </w:r>
          </w:p>
        </w:tc>
        <w:tc>
          <w:tcPr>
            <w:tcW w:w="1276" w:type="dxa"/>
            <w:tcBorders>
              <w:top w:val="nil"/>
            </w:tcBorders>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3,28</w:t>
            </w:r>
          </w:p>
        </w:tc>
      </w:tr>
      <w:tr w:rsidR="008813F9" w:rsidRPr="008813F9" w:rsidTr="00565460">
        <w:trPr>
          <w:trHeight w:val="300"/>
          <w:jc w:val="center"/>
        </w:trPr>
        <w:tc>
          <w:tcPr>
            <w:tcW w:w="0" w:type="auto"/>
            <w:vMerge/>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h (mg.g</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.menit</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2,83x10</w:t>
            </w:r>
            <w:r w:rsidRPr="008813F9">
              <w:rPr>
                <w:rFonts w:ascii="Times New Roman" w:eastAsia="Times New Roman" w:hAnsi="Times New Roman"/>
                <w:color w:val="000000"/>
                <w:sz w:val="24"/>
                <w:szCs w:val="24"/>
                <w:vertAlign w:val="superscript"/>
              </w:rPr>
              <w:t>-1</w:t>
            </w:r>
          </w:p>
        </w:tc>
        <w:tc>
          <w:tcPr>
            <w:tcW w:w="1276" w:type="dxa"/>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vertAlign w:val="superscript"/>
              </w:rPr>
            </w:pPr>
            <w:r w:rsidRPr="008813F9">
              <w:rPr>
                <w:rFonts w:ascii="Times New Roman" w:eastAsia="Times New Roman" w:hAnsi="Times New Roman"/>
                <w:color w:val="000000"/>
                <w:sz w:val="24"/>
                <w:szCs w:val="24"/>
              </w:rPr>
              <w:t>3,03x10</w:t>
            </w:r>
            <w:r w:rsidRPr="008813F9">
              <w:rPr>
                <w:rFonts w:ascii="Times New Roman" w:eastAsia="Times New Roman" w:hAnsi="Times New Roman"/>
                <w:color w:val="000000"/>
                <w:sz w:val="24"/>
                <w:szCs w:val="24"/>
                <w:vertAlign w:val="superscript"/>
              </w:rPr>
              <w:t>2</w:t>
            </w:r>
          </w:p>
        </w:tc>
      </w:tr>
      <w:tr w:rsidR="008813F9" w:rsidRPr="008813F9" w:rsidTr="00565460">
        <w:trPr>
          <w:trHeight w:val="300"/>
          <w:jc w:val="center"/>
        </w:trPr>
        <w:tc>
          <w:tcPr>
            <w:tcW w:w="0" w:type="auto"/>
            <w:vMerge/>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p>
        </w:tc>
        <w:tc>
          <w:tcPr>
            <w:tcW w:w="2585" w:type="dxa"/>
            <w:noWrap/>
            <w:vAlign w:val="center"/>
            <w:hideMark/>
          </w:tcPr>
          <w:p w:rsidR="008813F9" w:rsidRPr="008813F9" w:rsidRDefault="008813F9" w:rsidP="008813F9">
            <w:pPr>
              <w:spacing w:after="0" w:line="240" w:lineRule="auto"/>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q</w:t>
            </w:r>
            <w:r w:rsidRPr="008813F9">
              <w:rPr>
                <w:rFonts w:ascii="Times New Roman" w:eastAsia="Times New Roman" w:hAnsi="Times New Roman"/>
                <w:color w:val="000000"/>
                <w:sz w:val="24"/>
                <w:szCs w:val="24"/>
                <w:vertAlign w:val="subscript"/>
              </w:rPr>
              <w:t>e</w:t>
            </w:r>
            <w:r w:rsidRPr="008813F9">
              <w:rPr>
                <w:rFonts w:ascii="Times New Roman" w:eastAsia="Times New Roman" w:hAnsi="Times New Roman"/>
                <w:color w:val="000000"/>
                <w:sz w:val="24"/>
                <w:szCs w:val="24"/>
              </w:rPr>
              <w:t xml:space="preserve"> (mg.g</w:t>
            </w:r>
            <w:r w:rsidRPr="008813F9">
              <w:rPr>
                <w:rFonts w:ascii="Times New Roman" w:eastAsia="Times New Roman" w:hAnsi="Times New Roman"/>
                <w:color w:val="000000"/>
                <w:sz w:val="24"/>
                <w:szCs w:val="24"/>
                <w:vertAlign w:val="superscript"/>
              </w:rPr>
              <w:t>-1</w:t>
            </w:r>
            <w:r w:rsidRPr="008813F9">
              <w:rPr>
                <w:rFonts w:ascii="Times New Roman" w:eastAsia="Times New Roman" w:hAnsi="Times New Roman"/>
                <w:color w:val="000000"/>
                <w:sz w:val="24"/>
                <w:szCs w:val="24"/>
              </w:rPr>
              <w:t>)</w:t>
            </w:r>
          </w:p>
        </w:tc>
        <w:tc>
          <w:tcPr>
            <w:tcW w:w="1281" w:type="dxa"/>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1,73</w:t>
            </w:r>
          </w:p>
        </w:tc>
        <w:tc>
          <w:tcPr>
            <w:tcW w:w="1276" w:type="dxa"/>
            <w:noWrap/>
            <w:vAlign w:val="bottom"/>
            <w:hideMark/>
          </w:tcPr>
          <w:p w:rsidR="008813F9" w:rsidRPr="008813F9" w:rsidRDefault="008813F9" w:rsidP="008813F9">
            <w:pPr>
              <w:spacing w:after="0" w:line="240" w:lineRule="auto"/>
              <w:jc w:val="right"/>
              <w:rPr>
                <w:rFonts w:ascii="Times New Roman" w:eastAsia="Times New Roman" w:hAnsi="Times New Roman"/>
                <w:color w:val="000000"/>
                <w:sz w:val="24"/>
                <w:szCs w:val="24"/>
              </w:rPr>
            </w:pPr>
            <w:r w:rsidRPr="008813F9">
              <w:rPr>
                <w:rFonts w:ascii="Times New Roman" w:eastAsia="Times New Roman" w:hAnsi="Times New Roman"/>
                <w:color w:val="000000"/>
                <w:sz w:val="24"/>
                <w:szCs w:val="24"/>
              </w:rPr>
              <w:t>9,61</w:t>
            </w:r>
          </w:p>
        </w:tc>
      </w:tr>
    </w:tbl>
    <w:p w:rsidR="008813F9" w:rsidRDefault="008813F9" w:rsidP="008813F9">
      <w:pPr>
        <w:spacing w:after="0" w:line="240" w:lineRule="auto"/>
        <w:ind w:firstLine="720"/>
        <w:jc w:val="both"/>
        <w:rPr>
          <w:rFonts w:ascii="Times New Roman" w:eastAsiaTheme="minorEastAsia" w:hAnsi="Times New Roman"/>
          <w:sz w:val="24"/>
          <w:szCs w:val="24"/>
        </w:rPr>
      </w:pPr>
    </w:p>
    <w:p w:rsidR="008813F9" w:rsidRDefault="008813F9" w:rsidP="008813F9">
      <w:pPr>
        <w:spacing w:after="0" w:line="360" w:lineRule="auto"/>
        <w:ind w:firstLine="720"/>
        <w:jc w:val="both"/>
        <w:rPr>
          <w:rFonts w:ascii="Times New Roman" w:hAnsi="Times New Roman"/>
          <w:sz w:val="24"/>
        </w:rPr>
        <w:sectPr w:rsidR="008813F9" w:rsidSect="008813F9">
          <w:type w:val="continuous"/>
          <w:pgSz w:w="11907" w:h="16839" w:code="9"/>
          <w:pgMar w:top="1440" w:right="1440" w:bottom="1440" w:left="1440" w:header="720" w:footer="720" w:gutter="0"/>
          <w:cols w:space="720"/>
          <w:docGrid w:linePitch="360"/>
        </w:sectPr>
      </w:pPr>
    </w:p>
    <w:p w:rsidR="008813F9" w:rsidRDefault="008813F9" w:rsidP="008813F9">
      <w:pPr>
        <w:spacing w:after="0" w:line="360" w:lineRule="auto"/>
        <w:ind w:firstLine="720"/>
        <w:jc w:val="both"/>
        <w:rPr>
          <w:rFonts w:ascii="Times New Roman" w:hAnsi="Times New Roman"/>
          <w:sz w:val="24"/>
        </w:rPr>
      </w:pPr>
      <w:r w:rsidRPr="008813F9">
        <w:rPr>
          <w:rFonts w:ascii="Times New Roman" w:hAnsi="Times New Roman"/>
          <w:sz w:val="24"/>
        </w:rPr>
        <w:lastRenderedPageBreak/>
        <w:t xml:space="preserve">Berdasarkan model kinetika adsorpsi </w:t>
      </w:r>
      <w:proofErr w:type="gramStart"/>
      <w:r w:rsidRPr="008813F9">
        <w:rPr>
          <w:rFonts w:ascii="Times New Roman" w:hAnsi="Times New Roman"/>
          <w:sz w:val="24"/>
        </w:rPr>
        <w:t>Cu(</w:t>
      </w:r>
      <w:proofErr w:type="gramEnd"/>
      <w:r w:rsidRPr="008813F9">
        <w:rPr>
          <w:rFonts w:ascii="Times New Roman" w:hAnsi="Times New Roman"/>
          <w:sz w:val="24"/>
        </w:rPr>
        <w:t xml:space="preserve">II) dan Pb(II) menggunakan biosorben dari polimer ekstrak tanaman buah rambutan diketahui bahwa model kinetika Ho paling mendekati dengan model adsorpsi baik Cu(II) maupun Pb(II). Pada modell kinetika adsorpsi Cu(II) dan Pb(II) menggunakan model kinetika Langmuir-Hinshelwood kurang realistis </w:t>
      </w:r>
      <w:r w:rsidRPr="008813F9">
        <w:rPr>
          <w:rFonts w:ascii="Times New Roman" w:hAnsi="Times New Roman"/>
          <w:sz w:val="24"/>
        </w:rPr>
        <w:lastRenderedPageBreak/>
        <w:t>karena nilai kesetimbangan adsorpsi berni</w:t>
      </w:r>
      <w:r>
        <w:rPr>
          <w:rFonts w:ascii="Times New Roman" w:hAnsi="Times New Roman"/>
          <w:sz w:val="24"/>
        </w:rPr>
        <w:t>lai negatif</w:t>
      </w:r>
      <w:r w:rsidRPr="008813F9">
        <w:rPr>
          <w:rFonts w:ascii="Times New Roman" w:hAnsi="Times New Roman"/>
          <w:sz w:val="24"/>
        </w:rPr>
        <w:t xml:space="preserve"> (-), padahal untuk sebuah nilai kesetim</w:t>
      </w:r>
      <w:r>
        <w:rPr>
          <w:rFonts w:ascii="Times New Roman" w:hAnsi="Times New Roman"/>
          <w:sz w:val="24"/>
        </w:rPr>
        <w:t>bangan adsorpsi bernilai negatif</w:t>
      </w:r>
      <w:r w:rsidRPr="008813F9">
        <w:rPr>
          <w:rFonts w:ascii="Times New Roman" w:hAnsi="Times New Roman"/>
          <w:sz w:val="24"/>
        </w:rPr>
        <w:t xml:space="preserve"> (-) menunjukkan bahwa proses adsorpsi tidak beralan justru bergerak ke arah reaktan. Model kinetika Santosa dan Lagergreen juga tidak tetapt untuk menggambarkan model adsorpsi </w:t>
      </w:r>
      <w:proofErr w:type="gramStart"/>
      <w:r w:rsidRPr="008813F9">
        <w:rPr>
          <w:rFonts w:ascii="Times New Roman" w:hAnsi="Times New Roman"/>
          <w:sz w:val="24"/>
        </w:rPr>
        <w:t>Cu(</w:t>
      </w:r>
      <w:proofErr w:type="gramEnd"/>
      <w:r w:rsidRPr="008813F9">
        <w:rPr>
          <w:rFonts w:ascii="Times New Roman" w:hAnsi="Times New Roman"/>
          <w:sz w:val="24"/>
        </w:rPr>
        <w:t xml:space="preserve">II) dan Pb(II) karena nilai regresi linearnya sangat </w:t>
      </w:r>
      <w:r w:rsidRPr="008813F9">
        <w:rPr>
          <w:rFonts w:ascii="Times New Roman" w:hAnsi="Times New Roman"/>
          <w:sz w:val="24"/>
        </w:rPr>
        <w:lastRenderedPageBreak/>
        <w:t>kecil. Kapasitas adsorpsi (q</w:t>
      </w:r>
      <w:r w:rsidRPr="008813F9">
        <w:rPr>
          <w:rFonts w:ascii="Times New Roman" w:hAnsi="Times New Roman"/>
          <w:sz w:val="24"/>
          <w:vertAlign w:val="subscript"/>
        </w:rPr>
        <w:t>e</w:t>
      </w:r>
      <w:r w:rsidRPr="008813F9">
        <w:rPr>
          <w:rFonts w:ascii="Times New Roman" w:hAnsi="Times New Roman"/>
          <w:sz w:val="24"/>
        </w:rPr>
        <w:t>) dengan model kinetika Ho sebesar 1</w:t>
      </w:r>
      <w:proofErr w:type="gramStart"/>
      <w:r w:rsidRPr="008813F9">
        <w:rPr>
          <w:rFonts w:ascii="Times New Roman" w:hAnsi="Times New Roman"/>
          <w:sz w:val="24"/>
        </w:rPr>
        <w:t>,73</w:t>
      </w:r>
      <w:proofErr w:type="gramEnd"/>
      <w:r w:rsidRPr="008813F9">
        <w:rPr>
          <w:rFonts w:ascii="Times New Roman" w:hAnsi="Times New Roman"/>
          <w:sz w:val="24"/>
        </w:rPr>
        <w:t xml:space="preserve"> mg.g</w:t>
      </w:r>
      <w:r w:rsidRPr="008813F9">
        <w:rPr>
          <w:rFonts w:ascii="Times New Roman" w:hAnsi="Times New Roman"/>
          <w:sz w:val="24"/>
          <w:vertAlign w:val="superscript"/>
        </w:rPr>
        <w:t>-1</w:t>
      </w:r>
      <w:r w:rsidRPr="008813F9">
        <w:rPr>
          <w:rFonts w:ascii="Times New Roman" w:hAnsi="Times New Roman"/>
          <w:sz w:val="24"/>
        </w:rPr>
        <w:t xml:space="preserve"> untuk Cu(II) dan 9,61 mg.g</w:t>
      </w:r>
      <w:r w:rsidRPr="008813F9">
        <w:rPr>
          <w:rFonts w:ascii="Times New Roman" w:hAnsi="Times New Roman"/>
          <w:sz w:val="24"/>
          <w:vertAlign w:val="superscript"/>
        </w:rPr>
        <w:t>-1</w:t>
      </w:r>
      <w:r w:rsidRPr="008813F9">
        <w:rPr>
          <w:rFonts w:ascii="Times New Roman" w:hAnsi="Times New Roman"/>
          <w:sz w:val="24"/>
        </w:rPr>
        <w:t xml:space="preserve"> untuk Pb(II). Hal tersebut membuktikan bahwa model kinetika adsorpsi </w:t>
      </w:r>
      <w:proofErr w:type="gramStart"/>
      <w:r w:rsidRPr="008813F9">
        <w:rPr>
          <w:rFonts w:ascii="Times New Roman" w:hAnsi="Times New Roman"/>
          <w:sz w:val="24"/>
        </w:rPr>
        <w:t>Cu(</w:t>
      </w:r>
      <w:proofErr w:type="gramEnd"/>
      <w:r w:rsidRPr="008813F9">
        <w:rPr>
          <w:rFonts w:ascii="Times New Roman" w:hAnsi="Times New Roman"/>
          <w:sz w:val="24"/>
        </w:rPr>
        <w:t>II) dan Pb(II) mengikuti mekanisme kinetika pseudo orde 2.</w:t>
      </w:r>
    </w:p>
    <w:p w:rsidR="00F82687" w:rsidRPr="008813F9" w:rsidRDefault="00F82687" w:rsidP="008813F9">
      <w:pPr>
        <w:spacing w:after="0" w:line="360" w:lineRule="auto"/>
        <w:ind w:firstLine="720"/>
        <w:jc w:val="both"/>
        <w:rPr>
          <w:rFonts w:ascii="Times New Roman" w:eastAsia="Times New Roman" w:hAnsi="Times New Roman"/>
          <w:sz w:val="28"/>
          <w:szCs w:val="24"/>
        </w:rPr>
      </w:pPr>
    </w:p>
    <w:p w:rsidR="00164FE6" w:rsidRDefault="00164FE6" w:rsidP="00164FE6">
      <w:pPr>
        <w:spacing w:after="0" w:line="360" w:lineRule="auto"/>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Kesimpulan</w:t>
      </w:r>
    </w:p>
    <w:p w:rsidR="00164FE6" w:rsidRPr="00F82687" w:rsidRDefault="00F82687" w:rsidP="00F82687">
      <w:pPr>
        <w:spacing w:after="0" w:line="360" w:lineRule="auto"/>
        <w:ind w:firstLine="720"/>
        <w:jc w:val="both"/>
        <w:rPr>
          <w:rFonts w:ascii="Times New Roman" w:hAnsi="Times New Roman"/>
          <w:sz w:val="24"/>
        </w:rPr>
      </w:pPr>
      <w:r w:rsidRPr="00F82687">
        <w:rPr>
          <w:rFonts w:ascii="Times New Roman" w:hAnsi="Times New Roman"/>
          <w:sz w:val="24"/>
        </w:rPr>
        <w:t xml:space="preserve">Keseteimbangan adsorpsi ion Cu dan Pb terjadi pada menit yang </w:t>
      </w:r>
      <w:proofErr w:type="gramStart"/>
      <w:r w:rsidRPr="00F82687">
        <w:rPr>
          <w:rFonts w:ascii="Times New Roman" w:hAnsi="Times New Roman"/>
          <w:sz w:val="24"/>
        </w:rPr>
        <w:t>sama</w:t>
      </w:r>
      <w:proofErr w:type="gramEnd"/>
      <w:r w:rsidRPr="00F82687">
        <w:rPr>
          <w:rFonts w:ascii="Times New Roman" w:hAnsi="Times New Roman"/>
          <w:sz w:val="24"/>
        </w:rPr>
        <w:t xml:space="preserve"> yaitu pada menit ke-10 tetapi kapasitas adsorpsi pada menit tersebut berbeda. Adsorpsi ion Cu dan Pb pada menit ke-10 berturut-turut adalah 0</w:t>
      </w:r>
      <w:proofErr w:type="gramStart"/>
      <w:r w:rsidRPr="00F82687">
        <w:rPr>
          <w:rFonts w:ascii="Times New Roman" w:hAnsi="Times New Roman"/>
          <w:sz w:val="24"/>
        </w:rPr>
        <w:t>,90</w:t>
      </w:r>
      <w:proofErr w:type="gramEnd"/>
      <w:r w:rsidRPr="00F82687">
        <w:rPr>
          <w:rFonts w:ascii="Times New Roman" w:hAnsi="Times New Roman"/>
          <w:sz w:val="24"/>
        </w:rPr>
        <w:t xml:space="preserve"> dan 9,64 mg.g</w:t>
      </w:r>
      <w:r w:rsidRPr="00F82687">
        <w:rPr>
          <w:rFonts w:ascii="Times New Roman" w:hAnsi="Times New Roman"/>
          <w:sz w:val="24"/>
          <w:vertAlign w:val="superscript"/>
        </w:rPr>
        <w:t>-1</w:t>
      </w:r>
      <w:r w:rsidRPr="00F82687">
        <w:rPr>
          <w:rFonts w:ascii="Times New Roman" w:hAnsi="Times New Roman"/>
          <w:sz w:val="24"/>
        </w:rPr>
        <w:t>. Kinetika adsorpsi Cu(II) dan Pb(II) semua mengikuti model kinetika Ho yaitu mekanisme kinetika pseudo orde 2 dengan nilai k masing-masing adalah 9,50x10</w:t>
      </w:r>
      <w:r w:rsidRPr="00F82687">
        <w:rPr>
          <w:rFonts w:ascii="Times New Roman" w:hAnsi="Times New Roman"/>
          <w:sz w:val="24"/>
          <w:vertAlign w:val="superscript"/>
        </w:rPr>
        <w:t>-2</w:t>
      </w:r>
      <w:r w:rsidRPr="00F82687">
        <w:rPr>
          <w:rFonts w:ascii="Times New Roman" w:hAnsi="Times New Roman"/>
          <w:sz w:val="24"/>
        </w:rPr>
        <w:t xml:space="preserve"> dan 3,28 g.mg</w:t>
      </w:r>
      <w:r w:rsidRPr="00F82687">
        <w:rPr>
          <w:rFonts w:ascii="Times New Roman" w:hAnsi="Times New Roman"/>
          <w:sz w:val="24"/>
          <w:vertAlign w:val="superscript"/>
        </w:rPr>
        <w:t>-1</w:t>
      </w:r>
      <w:r w:rsidRPr="00F82687">
        <w:rPr>
          <w:rFonts w:ascii="Times New Roman" w:hAnsi="Times New Roman"/>
          <w:sz w:val="24"/>
        </w:rPr>
        <w:t>.menit</w:t>
      </w:r>
      <w:r w:rsidRPr="00F82687">
        <w:rPr>
          <w:rFonts w:ascii="Times New Roman" w:hAnsi="Times New Roman"/>
          <w:sz w:val="24"/>
          <w:vertAlign w:val="superscript"/>
        </w:rPr>
        <w:t>-1</w:t>
      </w:r>
      <w:r w:rsidRPr="00F82687">
        <w:rPr>
          <w:rFonts w:ascii="Times New Roman" w:hAnsi="Times New Roman"/>
          <w:sz w:val="24"/>
        </w:rPr>
        <w:t>.</w:t>
      </w:r>
      <w:r w:rsidR="00164FE6" w:rsidRPr="00F82687">
        <w:rPr>
          <w:rFonts w:ascii="Times New Roman" w:eastAsia="Times New Roman" w:hAnsi="Times New Roman"/>
          <w:sz w:val="28"/>
          <w:szCs w:val="24"/>
          <w:lang w:val="id-ID"/>
        </w:rPr>
        <w:t xml:space="preserve"> </w:t>
      </w:r>
    </w:p>
    <w:p w:rsidR="00164FE6" w:rsidRPr="00164FE6" w:rsidRDefault="00164FE6" w:rsidP="00164FE6">
      <w:pPr>
        <w:spacing w:after="0" w:line="360" w:lineRule="auto"/>
        <w:jc w:val="both"/>
        <w:rPr>
          <w:rFonts w:ascii="Times New Roman" w:hAnsi="Times New Roman"/>
          <w:sz w:val="24"/>
          <w:szCs w:val="24"/>
        </w:rPr>
      </w:pPr>
    </w:p>
    <w:p w:rsidR="00164FE6" w:rsidRDefault="00164FE6" w:rsidP="00164FE6">
      <w:pPr>
        <w:spacing w:after="0" w:line="360" w:lineRule="auto"/>
        <w:jc w:val="both"/>
        <w:rPr>
          <w:rFonts w:ascii="Times New Roman" w:eastAsia="Times New Roman" w:hAnsi="Times New Roman"/>
          <w:b/>
          <w:bCs/>
          <w:sz w:val="24"/>
          <w:szCs w:val="24"/>
          <w:lang w:val="id-ID"/>
        </w:rPr>
      </w:pPr>
      <w:r>
        <w:rPr>
          <w:rFonts w:ascii="Times New Roman" w:eastAsia="Times New Roman" w:hAnsi="Times New Roman"/>
          <w:b/>
          <w:bCs/>
          <w:sz w:val="24"/>
          <w:szCs w:val="24"/>
          <w:lang w:val="id-ID"/>
        </w:rPr>
        <w:t>Daftar Pustaka</w:t>
      </w:r>
    </w:p>
    <w:p w:rsidR="00A8319B" w:rsidRDefault="00DE418F" w:rsidP="00A8319B">
      <w:pPr>
        <w:spacing w:line="240" w:lineRule="auto"/>
        <w:ind w:left="720" w:hanging="720"/>
        <w:contextualSpacing/>
        <w:jc w:val="both"/>
        <w:rPr>
          <w:rFonts w:ascii="Times New Roman" w:hAnsi="Times New Roman"/>
          <w:color w:val="000000"/>
          <w:sz w:val="24"/>
          <w:szCs w:val="20"/>
        </w:rPr>
      </w:pPr>
      <w:r w:rsidRPr="00EE5B08">
        <w:rPr>
          <w:rFonts w:ascii="Times New Roman" w:hAnsi="Times New Roman"/>
          <w:color w:val="000000"/>
          <w:sz w:val="24"/>
          <w:szCs w:val="20"/>
        </w:rPr>
        <w:t xml:space="preserve">Asuquo, E.; Martin, A.; Nzerem, P.; Siperstein, F.; Fan, X., 2017, Adsorption of </w:t>
      </w:r>
      <w:proofErr w:type="gramStart"/>
      <w:r w:rsidRPr="00EE5B08">
        <w:rPr>
          <w:rFonts w:ascii="Times New Roman" w:hAnsi="Times New Roman"/>
          <w:color w:val="000000"/>
          <w:sz w:val="24"/>
          <w:szCs w:val="20"/>
        </w:rPr>
        <w:t>Cd(</w:t>
      </w:r>
      <w:proofErr w:type="gramEnd"/>
      <w:r w:rsidRPr="00EE5B08">
        <w:rPr>
          <w:rFonts w:ascii="Times New Roman" w:hAnsi="Times New Roman"/>
          <w:color w:val="000000"/>
          <w:sz w:val="24"/>
          <w:szCs w:val="20"/>
        </w:rPr>
        <w:t xml:space="preserve">II) and Pb(II) ions from aqueous solutions using mesoporous activated carbon adsorbent: Equilibrium, kinetics and characterisation studies, </w:t>
      </w:r>
      <w:r w:rsidRPr="00EE5B08">
        <w:rPr>
          <w:rFonts w:ascii="Times New Roman" w:hAnsi="Times New Roman"/>
          <w:i/>
          <w:iCs/>
          <w:color w:val="000000"/>
          <w:sz w:val="24"/>
          <w:szCs w:val="20"/>
        </w:rPr>
        <w:t>J. Environ. Chem. Eng.</w:t>
      </w:r>
      <w:r w:rsidRPr="00EE5B08">
        <w:rPr>
          <w:rFonts w:ascii="Times New Roman" w:hAnsi="Times New Roman"/>
          <w:color w:val="000000"/>
          <w:sz w:val="24"/>
          <w:szCs w:val="20"/>
        </w:rPr>
        <w:t xml:space="preserve">, vol. </w:t>
      </w:r>
      <w:r w:rsidRPr="00EE5B08">
        <w:rPr>
          <w:rFonts w:ascii="Times New Roman" w:hAnsi="Times New Roman"/>
          <w:iCs/>
          <w:color w:val="000000"/>
          <w:sz w:val="24"/>
          <w:szCs w:val="20"/>
        </w:rPr>
        <w:t>5</w:t>
      </w:r>
      <w:r w:rsidRPr="00EE5B08">
        <w:rPr>
          <w:rFonts w:ascii="Times New Roman" w:hAnsi="Times New Roman"/>
          <w:color w:val="000000"/>
          <w:sz w:val="24"/>
          <w:szCs w:val="20"/>
        </w:rPr>
        <w:t>, pp.: 679–698.</w:t>
      </w:r>
      <w:r w:rsidR="00A8319B" w:rsidRPr="00A8319B">
        <w:t xml:space="preserve"> </w:t>
      </w:r>
      <w:r w:rsidR="00A8319B" w:rsidRPr="00A8319B">
        <w:rPr>
          <w:rFonts w:ascii="Times New Roman" w:hAnsi="Times New Roman"/>
          <w:color w:val="000000"/>
          <w:sz w:val="24"/>
          <w:szCs w:val="20"/>
        </w:rPr>
        <w:t>DOI: 10.1016/j.jece.2016.12.043</w:t>
      </w:r>
    </w:p>
    <w:p w:rsidR="002E2D72" w:rsidRDefault="002E2D72" w:rsidP="00CB51F0">
      <w:pPr>
        <w:spacing w:line="240" w:lineRule="auto"/>
        <w:ind w:left="720" w:hanging="720"/>
        <w:contextualSpacing/>
        <w:jc w:val="both"/>
        <w:rPr>
          <w:rFonts w:ascii="Times New Roman" w:hAnsi="Times New Roman"/>
          <w:color w:val="000000"/>
          <w:sz w:val="24"/>
          <w:szCs w:val="20"/>
        </w:rPr>
      </w:pPr>
    </w:p>
    <w:p w:rsidR="002C74B0" w:rsidRDefault="002C74B0" w:rsidP="002C74B0">
      <w:pPr>
        <w:spacing w:line="240" w:lineRule="auto"/>
        <w:ind w:left="720" w:hanging="720"/>
        <w:contextualSpacing/>
        <w:jc w:val="both"/>
        <w:rPr>
          <w:rFonts w:ascii="Times New Roman" w:hAnsi="Times New Roman"/>
          <w:color w:val="000000"/>
          <w:sz w:val="24"/>
          <w:szCs w:val="20"/>
        </w:rPr>
      </w:pPr>
      <w:r w:rsidRPr="00CA2EAA">
        <w:rPr>
          <w:rFonts w:ascii="Times New Roman" w:hAnsi="Times New Roman"/>
          <w:color w:val="000000"/>
          <w:sz w:val="24"/>
          <w:szCs w:val="20"/>
        </w:rPr>
        <w:t xml:space="preserve">Gupta, V. K.; Suhas, 2009, Application of low-cost adsorbents for dye removal—A review, </w:t>
      </w:r>
      <w:r w:rsidRPr="00CA2EAA">
        <w:rPr>
          <w:rFonts w:ascii="Times New Roman" w:hAnsi="Times New Roman"/>
          <w:i/>
          <w:iCs/>
          <w:color w:val="000000"/>
          <w:sz w:val="24"/>
          <w:szCs w:val="20"/>
        </w:rPr>
        <w:t xml:space="preserve">J. Environ. </w:t>
      </w:r>
      <w:proofErr w:type="gramStart"/>
      <w:r w:rsidRPr="00CA2EAA">
        <w:rPr>
          <w:rFonts w:ascii="Times New Roman" w:hAnsi="Times New Roman"/>
          <w:i/>
          <w:iCs/>
          <w:color w:val="000000"/>
          <w:sz w:val="24"/>
          <w:szCs w:val="20"/>
        </w:rPr>
        <w:t>Manag.</w:t>
      </w:r>
      <w:r w:rsidRPr="00CA2EAA">
        <w:rPr>
          <w:rFonts w:ascii="Times New Roman" w:hAnsi="Times New Roman"/>
          <w:iCs/>
          <w:color w:val="000000"/>
          <w:sz w:val="24"/>
          <w:szCs w:val="20"/>
        </w:rPr>
        <w:t>,</w:t>
      </w:r>
      <w:proofErr w:type="gramEnd"/>
      <w:r w:rsidRPr="00CA2EAA">
        <w:rPr>
          <w:rFonts w:ascii="Times New Roman" w:hAnsi="Times New Roman"/>
          <w:color w:val="000000"/>
          <w:sz w:val="24"/>
          <w:szCs w:val="20"/>
        </w:rPr>
        <w:t xml:space="preserve"> vol. </w:t>
      </w:r>
      <w:r w:rsidRPr="00CA2EAA">
        <w:rPr>
          <w:rFonts w:ascii="Times New Roman" w:hAnsi="Times New Roman"/>
          <w:iCs/>
          <w:color w:val="000000"/>
          <w:sz w:val="24"/>
          <w:szCs w:val="20"/>
        </w:rPr>
        <w:t>90</w:t>
      </w:r>
      <w:r w:rsidRPr="00CA2EAA">
        <w:rPr>
          <w:rFonts w:ascii="Times New Roman" w:hAnsi="Times New Roman"/>
          <w:color w:val="000000"/>
          <w:sz w:val="24"/>
          <w:szCs w:val="20"/>
        </w:rPr>
        <w:t>, pp.: 2313–2342.</w:t>
      </w:r>
      <w:r w:rsidR="00A8319B">
        <w:rPr>
          <w:rFonts w:ascii="Times New Roman" w:hAnsi="Times New Roman"/>
          <w:color w:val="000000"/>
          <w:sz w:val="24"/>
          <w:szCs w:val="20"/>
        </w:rPr>
        <w:t xml:space="preserve"> </w:t>
      </w:r>
      <w:r w:rsidR="00A8319B" w:rsidRPr="00A8319B">
        <w:rPr>
          <w:rFonts w:ascii="Times New Roman" w:hAnsi="Times New Roman"/>
          <w:color w:val="000000"/>
          <w:sz w:val="24"/>
          <w:szCs w:val="20"/>
        </w:rPr>
        <w:t>DOI: 10.1016/j.jenvman.2008.11.017</w:t>
      </w:r>
    </w:p>
    <w:p w:rsidR="002C74B0" w:rsidRDefault="002C74B0" w:rsidP="00F45B97">
      <w:pPr>
        <w:spacing w:line="240" w:lineRule="auto"/>
        <w:ind w:left="720" w:hanging="720"/>
        <w:contextualSpacing/>
        <w:jc w:val="both"/>
        <w:rPr>
          <w:rFonts w:ascii="Times New Roman" w:hAnsi="Times New Roman"/>
          <w:color w:val="000000"/>
          <w:sz w:val="24"/>
          <w:szCs w:val="20"/>
        </w:rPr>
      </w:pPr>
    </w:p>
    <w:p w:rsidR="00F45B97" w:rsidRDefault="00A7392F" w:rsidP="00F45B97">
      <w:pPr>
        <w:spacing w:line="240" w:lineRule="auto"/>
        <w:ind w:left="720" w:hanging="720"/>
        <w:contextualSpacing/>
        <w:jc w:val="both"/>
        <w:rPr>
          <w:rFonts w:ascii="Times New Roman" w:hAnsi="Times New Roman"/>
          <w:color w:val="000000"/>
          <w:sz w:val="24"/>
          <w:szCs w:val="20"/>
        </w:rPr>
      </w:pPr>
      <w:r w:rsidRPr="00DB4BE0">
        <w:rPr>
          <w:rFonts w:ascii="Times New Roman" w:hAnsi="Times New Roman"/>
          <w:color w:val="000000"/>
          <w:sz w:val="24"/>
          <w:szCs w:val="20"/>
        </w:rPr>
        <w:t xml:space="preserve">Hayati, </w:t>
      </w:r>
      <w:r w:rsidR="00DB4BE0" w:rsidRPr="00DB4BE0">
        <w:rPr>
          <w:rFonts w:ascii="Times New Roman" w:hAnsi="Times New Roman"/>
          <w:color w:val="000000"/>
          <w:sz w:val="24"/>
          <w:szCs w:val="20"/>
        </w:rPr>
        <w:t xml:space="preserve">B.; </w:t>
      </w:r>
      <w:r w:rsidRPr="00DB4BE0">
        <w:rPr>
          <w:rFonts w:ascii="Times New Roman" w:hAnsi="Times New Roman"/>
          <w:color w:val="000000"/>
          <w:sz w:val="24"/>
          <w:szCs w:val="20"/>
        </w:rPr>
        <w:t xml:space="preserve">Maleki, </w:t>
      </w:r>
      <w:r w:rsidR="00DB4BE0" w:rsidRPr="00DB4BE0">
        <w:rPr>
          <w:rFonts w:ascii="Times New Roman" w:hAnsi="Times New Roman"/>
          <w:color w:val="000000"/>
          <w:sz w:val="24"/>
          <w:szCs w:val="20"/>
        </w:rPr>
        <w:t>A.</w:t>
      </w:r>
      <w:r w:rsidR="00DB4BE0" w:rsidRPr="00DB4BE0">
        <w:rPr>
          <w:rFonts w:ascii="Times New Roman" w:hAnsi="Times New Roman"/>
          <w:color w:val="000000"/>
          <w:sz w:val="24"/>
          <w:szCs w:val="20"/>
        </w:rPr>
        <w:t xml:space="preserve">; </w:t>
      </w:r>
      <w:r w:rsidRPr="00DB4BE0">
        <w:rPr>
          <w:rFonts w:ascii="Times New Roman" w:hAnsi="Times New Roman"/>
          <w:color w:val="000000"/>
          <w:sz w:val="24"/>
          <w:szCs w:val="20"/>
        </w:rPr>
        <w:t>Najafi,</w:t>
      </w:r>
      <w:r w:rsidR="00DB4BE0" w:rsidRPr="00DB4BE0">
        <w:rPr>
          <w:rFonts w:ascii="Times New Roman" w:hAnsi="Times New Roman"/>
          <w:color w:val="000000"/>
          <w:sz w:val="24"/>
          <w:szCs w:val="20"/>
        </w:rPr>
        <w:t xml:space="preserve"> </w:t>
      </w:r>
      <w:r w:rsidR="00DB4BE0" w:rsidRPr="00DB4BE0">
        <w:rPr>
          <w:rFonts w:ascii="Times New Roman" w:hAnsi="Times New Roman"/>
          <w:color w:val="000000"/>
          <w:sz w:val="24"/>
          <w:szCs w:val="20"/>
        </w:rPr>
        <w:t>F.</w:t>
      </w:r>
      <w:r w:rsidR="00DB4BE0" w:rsidRPr="00DB4BE0">
        <w:rPr>
          <w:rFonts w:ascii="Times New Roman" w:hAnsi="Times New Roman"/>
          <w:color w:val="000000"/>
          <w:sz w:val="24"/>
          <w:szCs w:val="20"/>
        </w:rPr>
        <w:t xml:space="preserve">; </w:t>
      </w:r>
      <w:r w:rsidRPr="00DB4BE0">
        <w:rPr>
          <w:rFonts w:ascii="Times New Roman" w:hAnsi="Times New Roman"/>
          <w:color w:val="000000"/>
          <w:sz w:val="24"/>
          <w:szCs w:val="20"/>
        </w:rPr>
        <w:t>Daraei,</w:t>
      </w:r>
      <w:r w:rsidR="00DB4BE0" w:rsidRPr="00DB4BE0">
        <w:rPr>
          <w:rFonts w:ascii="Times New Roman" w:hAnsi="Times New Roman"/>
          <w:color w:val="000000"/>
          <w:sz w:val="24"/>
          <w:szCs w:val="20"/>
        </w:rPr>
        <w:t xml:space="preserve"> </w:t>
      </w:r>
      <w:r w:rsidR="00DB4BE0" w:rsidRPr="00DB4BE0">
        <w:rPr>
          <w:rFonts w:ascii="Times New Roman" w:hAnsi="Times New Roman"/>
          <w:color w:val="000000"/>
          <w:sz w:val="24"/>
          <w:szCs w:val="20"/>
        </w:rPr>
        <w:t>H.</w:t>
      </w:r>
      <w:r w:rsidR="00DB4BE0" w:rsidRPr="00DB4BE0">
        <w:rPr>
          <w:rFonts w:ascii="Times New Roman" w:hAnsi="Times New Roman"/>
          <w:color w:val="000000"/>
          <w:sz w:val="24"/>
          <w:szCs w:val="20"/>
        </w:rPr>
        <w:t>;</w:t>
      </w:r>
      <w:r w:rsidRPr="00DB4BE0">
        <w:rPr>
          <w:rFonts w:ascii="Times New Roman" w:hAnsi="Times New Roman"/>
          <w:color w:val="000000"/>
          <w:sz w:val="24"/>
          <w:szCs w:val="20"/>
        </w:rPr>
        <w:t xml:space="preserve"> Gharibi,</w:t>
      </w:r>
      <w:r w:rsidR="00DB4BE0" w:rsidRPr="00DB4BE0">
        <w:rPr>
          <w:rFonts w:ascii="Times New Roman" w:hAnsi="Times New Roman"/>
          <w:color w:val="000000"/>
          <w:sz w:val="24"/>
          <w:szCs w:val="20"/>
        </w:rPr>
        <w:t xml:space="preserve"> </w:t>
      </w:r>
      <w:r w:rsidR="00DB4BE0" w:rsidRPr="00DB4BE0">
        <w:rPr>
          <w:rFonts w:ascii="Times New Roman" w:hAnsi="Times New Roman"/>
          <w:color w:val="000000"/>
          <w:sz w:val="24"/>
          <w:szCs w:val="20"/>
        </w:rPr>
        <w:t>F.</w:t>
      </w:r>
      <w:r w:rsidR="00DB4BE0" w:rsidRPr="00DB4BE0">
        <w:rPr>
          <w:rFonts w:ascii="Times New Roman" w:hAnsi="Times New Roman"/>
          <w:color w:val="000000"/>
          <w:sz w:val="24"/>
          <w:szCs w:val="20"/>
        </w:rPr>
        <w:t>;</w:t>
      </w:r>
      <w:r w:rsidRPr="00DB4BE0">
        <w:rPr>
          <w:rFonts w:ascii="Times New Roman" w:hAnsi="Times New Roman"/>
          <w:color w:val="000000"/>
          <w:sz w:val="24"/>
          <w:szCs w:val="20"/>
        </w:rPr>
        <w:t xml:space="preserve"> McKay, </w:t>
      </w:r>
      <w:r w:rsidR="00DB4BE0" w:rsidRPr="00DB4BE0">
        <w:rPr>
          <w:rFonts w:ascii="Times New Roman" w:hAnsi="Times New Roman"/>
          <w:color w:val="000000"/>
          <w:sz w:val="24"/>
          <w:szCs w:val="20"/>
        </w:rPr>
        <w:t xml:space="preserve">G., 2017, </w:t>
      </w:r>
      <w:r w:rsidRPr="00DB4BE0">
        <w:rPr>
          <w:rFonts w:ascii="Times New Roman" w:hAnsi="Times New Roman"/>
          <w:color w:val="000000"/>
          <w:sz w:val="24"/>
          <w:szCs w:val="20"/>
        </w:rPr>
        <w:t>Adsorption of Pb2+, Ni2+, Cu2+, Co2+ metal ions from aqueous solution by PPI/SiO2 as new high performance adsorbent: Preparation, characterization, isotherm, kinetic, thermodynamic studies</w:t>
      </w:r>
      <w:r w:rsidR="00DB4BE0" w:rsidRPr="00DB4BE0">
        <w:rPr>
          <w:rFonts w:ascii="Times New Roman" w:hAnsi="Times New Roman"/>
          <w:color w:val="000000"/>
          <w:sz w:val="24"/>
          <w:szCs w:val="20"/>
        </w:rPr>
        <w:t>,</w:t>
      </w:r>
      <w:r w:rsidRPr="00DB4BE0">
        <w:rPr>
          <w:rFonts w:ascii="Times New Roman" w:hAnsi="Times New Roman"/>
          <w:color w:val="000000"/>
          <w:sz w:val="24"/>
          <w:szCs w:val="20"/>
        </w:rPr>
        <w:t xml:space="preserve"> </w:t>
      </w:r>
      <w:r w:rsidRPr="00DB4BE0">
        <w:rPr>
          <w:rFonts w:ascii="Times New Roman" w:hAnsi="Times New Roman"/>
          <w:i/>
          <w:iCs/>
          <w:color w:val="000000"/>
          <w:sz w:val="24"/>
          <w:szCs w:val="20"/>
        </w:rPr>
        <w:t>J. Mol. Liq.</w:t>
      </w:r>
      <w:r w:rsidRPr="00DB4BE0">
        <w:rPr>
          <w:rFonts w:ascii="Times New Roman" w:hAnsi="Times New Roman"/>
          <w:color w:val="000000"/>
          <w:sz w:val="24"/>
          <w:szCs w:val="20"/>
        </w:rPr>
        <w:t xml:space="preserve">, vol. </w:t>
      </w:r>
      <w:r w:rsidRPr="00DB4BE0">
        <w:rPr>
          <w:rFonts w:ascii="Times New Roman" w:hAnsi="Times New Roman"/>
          <w:iCs/>
          <w:color w:val="000000"/>
          <w:sz w:val="24"/>
          <w:szCs w:val="20"/>
        </w:rPr>
        <w:t>237</w:t>
      </w:r>
      <w:r w:rsidRPr="00DB4BE0">
        <w:rPr>
          <w:rFonts w:ascii="Times New Roman" w:hAnsi="Times New Roman"/>
          <w:color w:val="000000"/>
          <w:sz w:val="24"/>
          <w:szCs w:val="20"/>
        </w:rPr>
        <w:t>,</w:t>
      </w:r>
      <w:r w:rsidR="00DB4BE0" w:rsidRPr="00DB4BE0">
        <w:rPr>
          <w:rFonts w:ascii="Times New Roman" w:hAnsi="Times New Roman"/>
          <w:color w:val="000000"/>
          <w:sz w:val="24"/>
          <w:szCs w:val="20"/>
        </w:rPr>
        <w:t xml:space="preserve"> pp.: 428–436</w:t>
      </w:r>
      <w:r w:rsidRPr="00DB4BE0">
        <w:rPr>
          <w:rFonts w:ascii="Times New Roman" w:hAnsi="Times New Roman"/>
          <w:color w:val="000000"/>
          <w:sz w:val="24"/>
          <w:szCs w:val="20"/>
        </w:rPr>
        <w:t>.</w:t>
      </w:r>
      <w:r w:rsidRPr="00DB4BE0">
        <w:rPr>
          <w:rFonts w:ascii="Times New Roman" w:hAnsi="Times New Roman"/>
          <w:sz w:val="24"/>
          <w:szCs w:val="20"/>
        </w:rPr>
        <w:t xml:space="preserve"> </w:t>
      </w:r>
      <w:r w:rsidR="00AC3C30" w:rsidRPr="00AC3C30">
        <w:rPr>
          <w:rFonts w:ascii="Times New Roman" w:hAnsi="Times New Roman"/>
          <w:sz w:val="24"/>
          <w:szCs w:val="20"/>
        </w:rPr>
        <w:t>DOI: 10.1016/j.molliq.2017.04.117</w:t>
      </w:r>
    </w:p>
    <w:p w:rsidR="00F45B97" w:rsidRDefault="00F45B97" w:rsidP="00F45B97">
      <w:pPr>
        <w:spacing w:line="240" w:lineRule="auto"/>
        <w:ind w:left="720" w:hanging="720"/>
        <w:contextualSpacing/>
        <w:jc w:val="both"/>
        <w:rPr>
          <w:rFonts w:ascii="Times New Roman" w:hAnsi="Times New Roman"/>
          <w:color w:val="000000"/>
          <w:sz w:val="24"/>
          <w:szCs w:val="20"/>
        </w:rPr>
      </w:pPr>
    </w:p>
    <w:p w:rsidR="0011583B" w:rsidRDefault="0011583B" w:rsidP="00301212">
      <w:pPr>
        <w:spacing w:line="240" w:lineRule="auto"/>
        <w:ind w:left="720" w:hanging="720"/>
        <w:contextualSpacing/>
        <w:jc w:val="both"/>
        <w:rPr>
          <w:rFonts w:ascii="Times New Roman" w:hAnsi="Times New Roman"/>
          <w:color w:val="000000"/>
          <w:sz w:val="24"/>
          <w:szCs w:val="20"/>
        </w:rPr>
      </w:pPr>
      <w:r w:rsidRPr="00301212">
        <w:rPr>
          <w:rFonts w:ascii="Times New Roman" w:hAnsi="Times New Roman"/>
          <w:color w:val="000000"/>
          <w:sz w:val="24"/>
          <w:szCs w:val="20"/>
        </w:rPr>
        <w:t xml:space="preserve">Hayati, B.; Maleki, A.; Najafi, F.; Daraei, H.; Gharibi, F.; McKay, </w:t>
      </w:r>
      <w:r w:rsidR="00AC3C30">
        <w:rPr>
          <w:rFonts w:ascii="Times New Roman" w:hAnsi="Times New Roman"/>
          <w:color w:val="000000"/>
          <w:sz w:val="24"/>
          <w:szCs w:val="20"/>
        </w:rPr>
        <w:t>G., 2017</w:t>
      </w:r>
      <w:r w:rsidRPr="00301212">
        <w:rPr>
          <w:rFonts w:ascii="Times New Roman" w:hAnsi="Times New Roman"/>
          <w:color w:val="000000"/>
          <w:sz w:val="24"/>
          <w:szCs w:val="20"/>
        </w:rPr>
        <w:t xml:space="preserve">, Super high removal capacities of heavy metals (Pb2+ and Cu2+) using CNT dendrimer, </w:t>
      </w:r>
      <w:r w:rsidRPr="00301212">
        <w:rPr>
          <w:rFonts w:ascii="Times New Roman" w:hAnsi="Times New Roman"/>
          <w:i/>
          <w:iCs/>
          <w:color w:val="000000"/>
          <w:sz w:val="24"/>
          <w:szCs w:val="20"/>
        </w:rPr>
        <w:t xml:space="preserve">J. Hazard. </w:t>
      </w:r>
      <w:proofErr w:type="gramStart"/>
      <w:r w:rsidRPr="00301212">
        <w:rPr>
          <w:rFonts w:ascii="Times New Roman" w:hAnsi="Times New Roman"/>
          <w:i/>
          <w:iCs/>
          <w:color w:val="000000"/>
          <w:sz w:val="24"/>
          <w:szCs w:val="20"/>
        </w:rPr>
        <w:t>Mater.</w:t>
      </w:r>
      <w:r w:rsidRPr="00301212">
        <w:rPr>
          <w:rFonts w:ascii="Times New Roman" w:hAnsi="Times New Roman"/>
          <w:color w:val="000000"/>
          <w:sz w:val="24"/>
          <w:szCs w:val="20"/>
        </w:rPr>
        <w:t>,</w:t>
      </w:r>
      <w:proofErr w:type="gramEnd"/>
      <w:r w:rsidRPr="00301212">
        <w:rPr>
          <w:rFonts w:ascii="Times New Roman" w:hAnsi="Times New Roman"/>
          <w:color w:val="000000"/>
          <w:sz w:val="24"/>
          <w:szCs w:val="20"/>
        </w:rPr>
        <w:t xml:space="preserve"> vol. </w:t>
      </w:r>
      <w:r w:rsidRPr="00301212">
        <w:rPr>
          <w:rFonts w:ascii="Times New Roman" w:hAnsi="Times New Roman"/>
          <w:iCs/>
          <w:color w:val="000000"/>
          <w:sz w:val="24"/>
          <w:szCs w:val="20"/>
        </w:rPr>
        <w:t>336</w:t>
      </w:r>
      <w:r w:rsidRPr="00301212">
        <w:rPr>
          <w:rFonts w:ascii="Times New Roman" w:hAnsi="Times New Roman"/>
          <w:color w:val="000000"/>
          <w:sz w:val="24"/>
          <w:szCs w:val="20"/>
        </w:rPr>
        <w:t>, pp.: 146–157.</w:t>
      </w:r>
      <w:r w:rsidR="00AC3C30">
        <w:rPr>
          <w:rFonts w:ascii="Times New Roman" w:hAnsi="Times New Roman"/>
          <w:color w:val="000000"/>
          <w:sz w:val="24"/>
          <w:szCs w:val="20"/>
        </w:rPr>
        <w:t xml:space="preserve"> </w:t>
      </w:r>
      <w:r w:rsidR="00AC3C30" w:rsidRPr="00AC3C30">
        <w:rPr>
          <w:rFonts w:ascii="Times New Roman" w:hAnsi="Times New Roman"/>
          <w:color w:val="000000"/>
          <w:sz w:val="24"/>
          <w:szCs w:val="20"/>
        </w:rPr>
        <w:t>DOI: 10.1016/j.jhazmat.2017.02.059</w:t>
      </w:r>
    </w:p>
    <w:p w:rsidR="0011583B" w:rsidRDefault="0011583B" w:rsidP="00301212">
      <w:pPr>
        <w:spacing w:line="240" w:lineRule="auto"/>
        <w:ind w:left="720" w:hanging="720"/>
        <w:contextualSpacing/>
        <w:jc w:val="both"/>
        <w:rPr>
          <w:rFonts w:ascii="Times New Roman" w:hAnsi="Times New Roman"/>
          <w:color w:val="000000"/>
          <w:sz w:val="24"/>
          <w:szCs w:val="20"/>
        </w:rPr>
      </w:pPr>
    </w:p>
    <w:p w:rsidR="00DE418F" w:rsidRPr="00DE6567" w:rsidRDefault="00DE418F" w:rsidP="00DE418F">
      <w:pPr>
        <w:spacing w:line="240" w:lineRule="auto"/>
        <w:ind w:left="720" w:hanging="720"/>
        <w:contextualSpacing/>
        <w:jc w:val="both"/>
        <w:rPr>
          <w:rFonts w:ascii="Times New Roman" w:hAnsi="Times New Roman"/>
          <w:color w:val="000000"/>
          <w:sz w:val="24"/>
          <w:szCs w:val="20"/>
        </w:rPr>
      </w:pPr>
      <w:r w:rsidRPr="00C05F35">
        <w:rPr>
          <w:rFonts w:ascii="Times New Roman" w:hAnsi="Times New Roman"/>
          <w:bCs/>
          <w:sz w:val="24"/>
          <w:szCs w:val="20"/>
          <w:lang w:val="id-ID"/>
        </w:rPr>
        <w:t>He,</w:t>
      </w:r>
      <w:r w:rsidRPr="00C05F35">
        <w:rPr>
          <w:rFonts w:ascii="Times New Roman" w:hAnsi="Times New Roman"/>
          <w:bCs/>
          <w:sz w:val="24"/>
          <w:szCs w:val="20"/>
        </w:rPr>
        <w:t xml:space="preserve"> Y.; </w:t>
      </w:r>
      <w:r w:rsidRPr="00C05F35">
        <w:rPr>
          <w:rFonts w:ascii="Times New Roman" w:hAnsi="Times New Roman"/>
          <w:bCs/>
          <w:sz w:val="24"/>
          <w:szCs w:val="20"/>
          <w:lang w:val="id-ID"/>
        </w:rPr>
        <w:t>Wu,</w:t>
      </w:r>
      <w:r w:rsidRPr="00C05F35">
        <w:rPr>
          <w:rFonts w:ascii="Times New Roman" w:hAnsi="Times New Roman"/>
          <w:bCs/>
          <w:sz w:val="24"/>
          <w:szCs w:val="20"/>
        </w:rPr>
        <w:t xml:space="preserve"> P.</w:t>
      </w:r>
      <w:r w:rsidRPr="00C05F35">
        <w:rPr>
          <w:rFonts w:ascii="Times New Roman" w:hAnsi="Times New Roman"/>
          <w:bCs/>
          <w:sz w:val="24"/>
          <w:szCs w:val="20"/>
          <w:lang w:val="id-ID"/>
        </w:rPr>
        <w:t xml:space="preserve">; Xiao, </w:t>
      </w:r>
      <w:r w:rsidRPr="00C05F35">
        <w:rPr>
          <w:rFonts w:ascii="Times New Roman" w:hAnsi="Times New Roman"/>
          <w:bCs/>
          <w:sz w:val="24"/>
          <w:szCs w:val="20"/>
        </w:rPr>
        <w:t>W.</w:t>
      </w:r>
      <w:r w:rsidRPr="00C05F35">
        <w:rPr>
          <w:rFonts w:ascii="Times New Roman" w:hAnsi="Times New Roman"/>
          <w:bCs/>
          <w:sz w:val="24"/>
          <w:szCs w:val="20"/>
          <w:lang w:val="id-ID"/>
        </w:rPr>
        <w:t>; Li,</w:t>
      </w:r>
      <w:r w:rsidRPr="00C05F35">
        <w:rPr>
          <w:rFonts w:ascii="Times New Roman" w:hAnsi="Times New Roman"/>
          <w:bCs/>
          <w:sz w:val="24"/>
          <w:szCs w:val="20"/>
        </w:rPr>
        <w:t xml:space="preserve"> G.; </w:t>
      </w:r>
      <w:r w:rsidRPr="00C05F35">
        <w:rPr>
          <w:rFonts w:ascii="Times New Roman" w:hAnsi="Times New Roman"/>
          <w:bCs/>
          <w:sz w:val="24"/>
          <w:szCs w:val="20"/>
          <w:lang w:val="id-ID"/>
        </w:rPr>
        <w:t xml:space="preserve">Yi, </w:t>
      </w:r>
      <w:r w:rsidRPr="00C05F35">
        <w:rPr>
          <w:rFonts w:ascii="Times New Roman" w:hAnsi="Times New Roman"/>
          <w:bCs/>
          <w:sz w:val="24"/>
          <w:szCs w:val="20"/>
        </w:rPr>
        <w:t>J.</w:t>
      </w:r>
      <w:r w:rsidRPr="00C05F35">
        <w:rPr>
          <w:rFonts w:ascii="Times New Roman" w:hAnsi="Times New Roman"/>
          <w:bCs/>
          <w:sz w:val="24"/>
          <w:szCs w:val="20"/>
          <w:lang w:val="id-ID"/>
        </w:rPr>
        <w:t>; He,</w:t>
      </w:r>
      <w:r w:rsidRPr="00C05F35">
        <w:rPr>
          <w:rFonts w:ascii="Times New Roman" w:hAnsi="Times New Roman"/>
          <w:bCs/>
          <w:sz w:val="24"/>
          <w:szCs w:val="20"/>
        </w:rPr>
        <w:t xml:space="preserve"> Y.; Chen, C.; Ding, P.; Duan,</w:t>
      </w:r>
      <w:r w:rsidRPr="00C05F35">
        <w:rPr>
          <w:rFonts w:ascii="Times New Roman" w:hAnsi="Times New Roman"/>
          <w:bCs/>
          <w:sz w:val="24"/>
          <w:szCs w:val="20"/>
          <w:lang w:val="id-ID"/>
        </w:rPr>
        <w:t xml:space="preserve"> </w:t>
      </w:r>
      <w:r w:rsidRPr="00C05F35">
        <w:rPr>
          <w:rFonts w:ascii="Times New Roman" w:hAnsi="Times New Roman"/>
          <w:bCs/>
          <w:sz w:val="24"/>
          <w:szCs w:val="20"/>
        </w:rPr>
        <w:t xml:space="preserve">Y., 2019, </w:t>
      </w:r>
      <w:r w:rsidRPr="00C05F35">
        <w:rPr>
          <w:rFonts w:ascii="Times New Roman" w:hAnsi="Times New Roman"/>
          <w:bCs/>
          <w:sz w:val="24"/>
          <w:szCs w:val="20"/>
          <w:lang w:val="id-ID"/>
        </w:rPr>
        <w:t xml:space="preserve">Efficient removal of </w:t>
      </w:r>
      <w:proofErr w:type="gramStart"/>
      <w:r w:rsidRPr="00C05F35">
        <w:rPr>
          <w:rFonts w:ascii="Times New Roman" w:hAnsi="Times New Roman"/>
          <w:bCs/>
          <w:sz w:val="24"/>
          <w:szCs w:val="20"/>
          <w:lang w:val="id-ID"/>
        </w:rPr>
        <w:t>Pb(</w:t>
      </w:r>
      <w:proofErr w:type="gramEnd"/>
      <w:r w:rsidRPr="00C05F35">
        <w:rPr>
          <w:rFonts w:ascii="Times New Roman" w:hAnsi="Times New Roman"/>
          <w:bCs/>
          <w:sz w:val="24"/>
          <w:szCs w:val="20"/>
          <w:lang w:val="id-ID"/>
        </w:rPr>
        <w:t xml:space="preserve">II) from aqueous solution by a novel ion imprinted magnetic biosorbent: Adsorption kinetics and mechanisms, </w:t>
      </w:r>
      <w:r w:rsidRPr="00C05F35">
        <w:rPr>
          <w:rFonts w:ascii="Times New Roman" w:hAnsi="Times New Roman"/>
          <w:bCs/>
          <w:i/>
          <w:sz w:val="24"/>
          <w:szCs w:val="20"/>
          <w:lang w:val="id-ID"/>
        </w:rPr>
        <w:t>PLoS ONE</w:t>
      </w:r>
      <w:r w:rsidRPr="00C05F35">
        <w:rPr>
          <w:rFonts w:ascii="Times New Roman" w:hAnsi="Times New Roman"/>
          <w:bCs/>
          <w:sz w:val="24"/>
          <w:szCs w:val="20"/>
        </w:rPr>
        <w:t>, vol.</w:t>
      </w:r>
      <w:r w:rsidRPr="00C05F35">
        <w:rPr>
          <w:rFonts w:ascii="Times New Roman" w:hAnsi="Times New Roman"/>
          <w:bCs/>
          <w:sz w:val="24"/>
          <w:szCs w:val="20"/>
          <w:lang w:val="id-ID"/>
        </w:rPr>
        <w:t xml:space="preserve"> 14(3), pp: e0213377.</w:t>
      </w:r>
      <w:r w:rsidR="00DE6567">
        <w:rPr>
          <w:rFonts w:ascii="Times New Roman" w:hAnsi="Times New Roman"/>
          <w:bCs/>
          <w:sz w:val="24"/>
          <w:szCs w:val="20"/>
        </w:rPr>
        <w:t xml:space="preserve"> </w:t>
      </w:r>
      <w:r w:rsidR="00DE6567" w:rsidRPr="00DE6567">
        <w:rPr>
          <w:rFonts w:ascii="Times New Roman" w:hAnsi="Times New Roman"/>
          <w:bCs/>
          <w:sz w:val="24"/>
          <w:szCs w:val="20"/>
        </w:rPr>
        <w:t>https://doi.org/10.1371/journal.pone.0213377</w:t>
      </w:r>
    </w:p>
    <w:p w:rsidR="00DE418F" w:rsidRDefault="00DE418F" w:rsidP="00301212">
      <w:pPr>
        <w:spacing w:line="240" w:lineRule="auto"/>
        <w:ind w:left="720" w:hanging="720"/>
        <w:contextualSpacing/>
        <w:jc w:val="both"/>
        <w:rPr>
          <w:rFonts w:ascii="Times New Roman" w:hAnsi="Times New Roman"/>
          <w:color w:val="000000"/>
          <w:sz w:val="24"/>
          <w:szCs w:val="20"/>
        </w:rPr>
      </w:pPr>
    </w:p>
    <w:p w:rsidR="00301212" w:rsidRDefault="00A7392F" w:rsidP="00301212">
      <w:pPr>
        <w:spacing w:line="240" w:lineRule="auto"/>
        <w:ind w:left="720" w:hanging="720"/>
        <w:contextualSpacing/>
        <w:jc w:val="both"/>
        <w:rPr>
          <w:rFonts w:ascii="Times New Roman" w:hAnsi="Times New Roman"/>
          <w:color w:val="000000"/>
          <w:sz w:val="24"/>
          <w:szCs w:val="20"/>
        </w:rPr>
      </w:pPr>
      <w:r w:rsidRPr="00F45B97">
        <w:rPr>
          <w:rFonts w:ascii="Times New Roman" w:hAnsi="Times New Roman"/>
          <w:color w:val="000000"/>
          <w:sz w:val="24"/>
          <w:szCs w:val="20"/>
        </w:rPr>
        <w:t xml:space="preserve">Höhener, </w:t>
      </w:r>
      <w:r w:rsidR="002E2D72" w:rsidRPr="00F45B97">
        <w:rPr>
          <w:rFonts w:ascii="Times New Roman" w:hAnsi="Times New Roman"/>
          <w:color w:val="000000"/>
          <w:sz w:val="24"/>
          <w:szCs w:val="20"/>
        </w:rPr>
        <w:t xml:space="preserve">P.; </w:t>
      </w:r>
      <w:r w:rsidRPr="00F45B97">
        <w:rPr>
          <w:rFonts w:ascii="Times New Roman" w:hAnsi="Times New Roman"/>
          <w:color w:val="000000"/>
          <w:sz w:val="24"/>
          <w:szCs w:val="20"/>
        </w:rPr>
        <w:t xml:space="preserve">Yu, </w:t>
      </w:r>
      <w:r w:rsidR="002E2D72" w:rsidRPr="00F45B97">
        <w:rPr>
          <w:rFonts w:ascii="Times New Roman" w:hAnsi="Times New Roman"/>
          <w:color w:val="000000"/>
          <w:sz w:val="24"/>
          <w:szCs w:val="20"/>
        </w:rPr>
        <w:t>X.</w:t>
      </w:r>
      <w:r w:rsidR="002E2D72" w:rsidRPr="00F45B97">
        <w:rPr>
          <w:rFonts w:ascii="Times New Roman" w:hAnsi="Times New Roman"/>
          <w:color w:val="000000"/>
          <w:sz w:val="24"/>
          <w:szCs w:val="20"/>
        </w:rPr>
        <w:t xml:space="preserve">, 2012, </w:t>
      </w:r>
      <w:r w:rsidRPr="00F45B97">
        <w:rPr>
          <w:rFonts w:ascii="Times New Roman" w:hAnsi="Times New Roman"/>
          <w:color w:val="000000"/>
          <w:sz w:val="24"/>
          <w:szCs w:val="20"/>
        </w:rPr>
        <w:t>Stable carbon and hydrogen isotope fractionation of dissolved organic groundwater poll</w:t>
      </w:r>
      <w:r w:rsidR="002E2D72" w:rsidRPr="00F45B97">
        <w:rPr>
          <w:rFonts w:ascii="Times New Roman" w:hAnsi="Times New Roman"/>
          <w:color w:val="000000"/>
          <w:sz w:val="24"/>
          <w:szCs w:val="20"/>
        </w:rPr>
        <w:t>utants by equilibrium sorption,</w:t>
      </w:r>
      <w:r w:rsidRPr="00F45B97">
        <w:rPr>
          <w:rFonts w:ascii="Times New Roman" w:hAnsi="Times New Roman"/>
          <w:color w:val="000000"/>
          <w:sz w:val="24"/>
          <w:szCs w:val="20"/>
        </w:rPr>
        <w:t xml:space="preserve"> </w:t>
      </w:r>
      <w:r w:rsidRPr="00F45B97">
        <w:rPr>
          <w:rFonts w:ascii="Times New Roman" w:hAnsi="Times New Roman"/>
          <w:i/>
          <w:iCs/>
          <w:color w:val="000000"/>
          <w:sz w:val="24"/>
          <w:szCs w:val="20"/>
        </w:rPr>
        <w:t>J. Contam. Hydrol</w:t>
      </w:r>
      <w:proofErr w:type="gramStart"/>
      <w:r w:rsidRPr="00F45B97">
        <w:rPr>
          <w:rFonts w:ascii="Times New Roman" w:hAnsi="Times New Roman"/>
          <w:i/>
          <w:iCs/>
          <w:color w:val="000000"/>
          <w:sz w:val="24"/>
          <w:szCs w:val="20"/>
        </w:rPr>
        <w:t>,</w:t>
      </w:r>
      <w:r w:rsidRPr="00F45B97">
        <w:rPr>
          <w:rFonts w:ascii="Times New Roman" w:hAnsi="Times New Roman"/>
          <w:color w:val="000000"/>
          <w:sz w:val="24"/>
          <w:szCs w:val="20"/>
        </w:rPr>
        <w:t>,</w:t>
      </w:r>
      <w:proofErr w:type="gramEnd"/>
      <w:r w:rsidRPr="00F45B97">
        <w:rPr>
          <w:rFonts w:ascii="Times New Roman" w:hAnsi="Times New Roman"/>
          <w:color w:val="000000"/>
          <w:sz w:val="24"/>
          <w:szCs w:val="20"/>
        </w:rPr>
        <w:t xml:space="preserve"> vol. </w:t>
      </w:r>
      <w:r w:rsidRPr="00F45B97">
        <w:rPr>
          <w:rFonts w:ascii="Times New Roman" w:hAnsi="Times New Roman"/>
          <w:iCs/>
          <w:color w:val="000000"/>
          <w:sz w:val="24"/>
          <w:szCs w:val="20"/>
        </w:rPr>
        <w:t>129–130</w:t>
      </w:r>
      <w:r w:rsidRPr="00F45B97">
        <w:rPr>
          <w:rFonts w:ascii="Times New Roman" w:hAnsi="Times New Roman"/>
          <w:color w:val="000000"/>
          <w:sz w:val="24"/>
          <w:szCs w:val="20"/>
        </w:rPr>
        <w:t>, pp.:</w:t>
      </w:r>
      <w:r w:rsidR="002E2D72" w:rsidRPr="00F45B97">
        <w:rPr>
          <w:rFonts w:ascii="Times New Roman" w:hAnsi="Times New Roman"/>
          <w:color w:val="000000"/>
          <w:sz w:val="24"/>
          <w:szCs w:val="20"/>
        </w:rPr>
        <w:t xml:space="preserve"> 54–61</w:t>
      </w:r>
      <w:r w:rsidRPr="00F45B97">
        <w:rPr>
          <w:rFonts w:ascii="Times New Roman" w:hAnsi="Times New Roman"/>
          <w:color w:val="000000"/>
          <w:sz w:val="24"/>
          <w:szCs w:val="20"/>
        </w:rPr>
        <w:t>.</w:t>
      </w:r>
      <w:r w:rsidRPr="00F45B97">
        <w:rPr>
          <w:rFonts w:ascii="Times New Roman" w:hAnsi="Times New Roman"/>
          <w:sz w:val="24"/>
          <w:szCs w:val="20"/>
        </w:rPr>
        <w:t xml:space="preserve"> </w:t>
      </w:r>
      <w:r w:rsidR="00DE6567" w:rsidRPr="00DE6567">
        <w:rPr>
          <w:rFonts w:ascii="Times New Roman" w:hAnsi="Times New Roman"/>
          <w:sz w:val="24"/>
          <w:szCs w:val="20"/>
        </w:rPr>
        <w:t>DOI: 10.1016/j.jconhyd.2011.09.006</w:t>
      </w:r>
    </w:p>
    <w:p w:rsidR="00301212" w:rsidRDefault="00301212" w:rsidP="00301212">
      <w:pPr>
        <w:spacing w:line="240" w:lineRule="auto"/>
        <w:ind w:left="720" w:hanging="720"/>
        <w:contextualSpacing/>
        <w:jc w:val="both"/>
        <w:rPr>
          <w:rFonts w:ascii="Times New Roman" w:hAnsi="Times New Roman"/>
          <w:color w:val="000000"/>
          <w:sz w:val="24"/>
          <w:szCs w:val="20"/>
        </w:rPr>
      </w:pPr>
    </w:p>
    <w:p w:rsidR="007D3470" w:rsidRDefault="007D3470" w:rsidP="007D3470">
      <w:pPr>
        <w:spacing w:line="240" w:lineRule="auto"/>
        <w:ind w:left="720" w:hanging="720"/>
        <w:contextualSpacing/>
        <w:jc w:val="both"/>
        <w:rPr>
          <w:rFonts w:ascii="Times New Roman" w:hAnsi="Times New Roman"/>
          <w:color w:val="000000"/>
          <w:sz w:val="24"/>
          <w:szCs w:val="20"/>
        </w:rPr>
      </w:pPr>
      <w:r w:rsidRPr="00AB4E4A">
        <w:rPr>
          <w:rFonts w:ascii="Times New Roman" w:hAnsi="Times New Roman"/>
          <w:color w:val="000000"/>
          <w:sz w:val="24"/>
          <w:szCs w:val="20"/>
        </w:rPr>
        <w:t xml:space="preserve">Jr., D. L. S.; Daley, J. C.; Stephens, R. L., 2013, </w:t>
      </w:r>
      <w:r w:rsidRPr="00AB4E4A">
        <w:rPr>
          <w:rFonts w:ascii="Times New Roman" w:hAnsi="Times New Roman"/>
          <w:i/>
          <w:color w:val="000000"/>
          <w:sz w:val="24"/>
          <w:szCs w:val="20"/>
        </w:rPr>
        <w:t>Lead Removal by Ion Exchange</w:t>
      </w:r>
      <w:r w:rsidRPr="00AB4E4A">
        <w:rPr>
          <w:rFonts w:ascii="Times New Roman" w:hAnsi="Times New Roman"/>
          <w:color w:val="000000"/>
          <w:sz w:val="24"/>
          <w:szCs w:val="20"/>
        </w:rPr>
        <w:t>, John</w:t>
      </w:r>
      <w:r w:rsidR="00336229">
        <w:rPr>
          <w:rFonts w:ascii="Times New Roman" w:hAnsi="Times New Roman"/>
          <w:color w:val="000000"/>
          <w:sz w:val="24"/>
          <w:szCs w:val="20"/>
        </w:rPr>
        <w:t xml:space="preserve"> </w:t>
      </w:r>
      <w:r w:rsidRPr="00AB4E4A">
        <w:rPr>
          <w:rFonts w:ascii="Times New Roman" w:hAnsi="Times New Roman"/>
          <w:color w:val="000000"/>
          <w:sz w:val="24"/>
          <w:szCs w:val="20"/>
        </w:rPr>
        <w:t>Wiley &amp; Sons, Inc., Hoboken.</w:t>
      </w:r>
    </w:p>
    <w:p w:rsidR="007D3470" w:rsidRDefault="007D3470" w:rsidP="0011583B">
      <w:pPr>
        <w:spacing w:line="240" w:lineRule="auto"/>
        <w:ind w:left="720" w:hanging="720"/>
        <w:contextualSpacing/>
        <w:jc w:val="both"/>
        <w:rPr>
          <w:rFonts w:ascii="Times New Roman" w:hAnsi="Times New Roman"/>
          <w:color w:val="000000"/>
          <w:sz w:val="24"/>
          <w:szCs w:val="20"/>
        </w:rPr>
      </w:pPr>
    </w:p>
    <w:p w:rsidR="0011583B" w:rsidRDefault="0011583B" w:rsidP="0011583B">
      <w:pPr>
        <w:spacing w:line="240" w:lineRule="auto"/>
        <w:ind w:left="720" w:hanging="720"/>
        <w:contextualSpacing/>
        <w:jc w:val="both"/>
        <w:rPr>
          <w:rFonts w:ascii="Times New Roman" w:hAnsi="Times New Roman"/>
          <w:color w:val="000000"/>
          <w:sz w:val="24"/>
          <w:szCs w:val="20"/>
        </w:rPr>
      </w:pPr>
      <w:r w:rsidRPr="00DD3DCD">
        <w:rPr>
          <w:rFonts w:ascii="Times New Roman" w:hAnsi="Times New Roman"/>
          <w:color w:val="000000"/>
          <w:sz w:val="24"/>
          <w:szCs w:val="20"/>
        </w:rPr>
        <w:t xml:space="preserve">Kavak, D., 2012, Removal of lead from aqueous solutions by precipitation statistical analysis and modeling, </w:t>
      </w:r>
      <w:r w:rsidRPr="00DD3DCD">
        <w:rPr>
          <w:rFonts w:ascii="Times New Roman" w:hAnsi="Times New Roman"/>
          <w:i/>
          <w:color w:val="000000"/>
          <w:sz w:val="24"/>
          <w:szCs w:val="20"/>
        </w:rPr>
        <w:t xml:space="preserve">Desalin. Water </w:t>
      </w:r>
      <w:proofErr w:type="gramStart"/>
      <w:r w:rsidRPr="00DD3DCD">
        <w:rPr>
          <w:rFonts w:ascii="Times New Roman" w:hAnsi="Times New Roman"/>
          <w:i/>
          <w:color w:val="000000"/>
          <w:sz w:val="24"/>
          <w:szCs w:val="20"/>
        </w:rPr>
        <w:t>Treat.</w:t>
      </w:r>
      <w:r w:rsidRPr="00DD3DCD">
        <w:rPr>
          <w:rFonts w:ascii="Times New Roman" w:hAnsi="Times New Roman"/>
          <w:color w:val="000000"/>
          <w:sz w:val="24"/>
          <w:szCs w:val="20"/>
        </w:rPr>
        <w:t>,</w:t>
      </w:r>
      <w:proofErr w:type="gramEnd"/>
      <w:r w:rsidRPr="00DD3DCD">
        <w:rPr>
          <w:rFonts w:ascii="Times New Roman" w:hAnsi="Times New Roman"/>
          <w:color w:val="000000"/>
          <w:sz w:val="24"/>
          <w:szCs w:val="20"/>
        </w:rPr>
        <w:t xml:space="preserve"> vol. 51, </w:t>
      </w:r>
      <w:r w:rsidRPr="00DD3DCD">
        <w:rPr>
          <w:rFonts w:ascii="Times New Roman" w:hAnsi="Times New Roman"/>
          <w:color w:val="000000"/>
          <w:sz w:val="24"/>
          <w:szCs w:val="20"/>
        </w:rPr>
        <w:lastRenderedPageBreak/>
        <w:t>pp.:1720–1726.</w:t>
      </w:r>
      <w:r w:rsidR="00014BB7">
        <w:rPr>
          <w:rFonts w:ascii="Times New Roman" w:hAnsi="Times New Roman"/>
          <w:color w:val="000000"/>
          <w:sz w:val="24"/>
          <w:szCs w:val="20"/>
        </w:rPr>
        <w:t xml:space="preserve"> </w:t>
      </w:r>
      <w:r w:rsidR="00014BB7" w:rsidRPr="00014BB7">
        <w:rPr>
          <w:rFonts w:ascii="Times New Roman" w:hAnsi="Times New Roman"/>
          <w:color w:val="000000"/>
          <w:sz w:val="24"/>
          <w:szCs w:val="20"/>
        </w:rPr>
        <w:t>https://doi.org/10.1080/19443994.2012.714652</w:t>
      </w:r>
    </w:p>
    <w:p w:rsidR="0011583B" w:rsidRDefault="0011583B" w:rsidP="0011583B">
      <w:pPr>
        <w:spacing w:line="240" w:lineRule="auto"/>
        <w:ind w:left="720" w:hanging="720"/>
        <w:contextualSpacing/>
        <w:jc w:val="both"/>
        <w:rPr>
          <w:rFonts w:ascii="Times New Roman" w:hAnsi="Times New Roman"/>
          <w:color w:val="000000"/>
          <w:sz w:val="24"/>
          <w:szCs w:val="20"/>
        </w:rPr>
      </w:pPr>
    </w:p>
    <w:p w:rsidR="0011583B" w:rsidRDefault="0011583B" w:rsidP="0011583B">
      <w:pPr>
        <w:spacing w:line="240" w:lineRule="auto"/>
        <w:ind w:left="720" w:hanging="720"/>
        <w:contextualSpacing/>
        <w:jc w:val="both"/>
        <w:rPr>
          <w:rFonts w:ascii="Times New Roman" w:hAnsi="Times New Roman"/>
          <w:color w:val="000000"/>
          <w:sz w:val="24"/>
          <w:szCs w:val="20"/>
        </w:rPr>
      </w:pPr>
      <w:r w:rsidRPr="001B039D">
        <w:rPr>
          <w:rFonts w:ascii="Times New Roman" w:hAnsi="Times New Roman"/>
          <w:color w:val="000000"/>
          <w:sz w:val="24"/>
          <w:szCs w:val="20"/>
        </w:rPr>
        <w:t xml:space="preserve">Li, </w:t>
      </w:r>
      <w:r>
        <w:rPr>
          <w:rFonts w:ascii="Times New Roman" w:hAnsi="Times New Roman"/>
          <w:color w:val="000000"/>
          <w:sz w:val="24"/>
          <w:szCs w:val="20"/>
        </w:rPr>
        <w:t>X.;</w:t>
      </w:r>
      <w:r w:rsidRPr="001B039D">
        <w:rPr>
          <w:rFonts w:ascii="Times New Roman" w:hAnsi="Times New Roman"/>
          <w:color w:val="000000"/>
          <w:sz w:val="24"/>
          <w:szCs w:val="20"/>
        </w:rPr>
        <w:t xml:space="preserve"> Li, H.</w:t>
      </w:r>
      <w:r>
        <w:rPr>
          <w:rFonts w:ascii="Times New Roman" w:hAnsi="Times New Roman"/>
          <w:color w:val="000000"/>
          <w:sz w:val="24"/>
          <w:szCs w:val="20"/>
        </w:rPr>
        <w:t xml:space="preserve">; </w:t>
      </w:r>
      <w:r w:rsidRPr="001B039D">
        <w:rPr>
          <w:rFonts w:ascii="Times New Roman" w:hAnsi="Times New Roman"/>
          <w:color w:val="000000"/>
          <w:sz w:val="24"/>
          <w:szCs w:val="20"/>
        </w:rPr>
        <w:t>Xu, X.</w:t>
      </w:r>
      <w:r>
        <w:rPr>
          <w:rFonts w:ascii="Times New Roman" w:hAnsi="Times New Roman"/>
          <w:color w:val="000000"/>
          <w:sz w:val="24"/>
          <w:szCs w:val="20"/>
        </w:rPr>
        <w:t xml:space="preserve">; </w:t>
      </w:r>
      <w:r w:rsidRPr="001B039D">
        <w:rPr>
          <w:rFonts w:ascii="Times New Roman" w:hAnsi="Times New Roman"/>
          <w:color w:val="000000"/>
          <w:sz w:val="24"/>
          <w:szCs w:val="20"/>
        </w:rPr>
        <w:t>Guo, N.</w:t>
      </w:r>
      <w:r>
        <w:rPr>
          <w:rFonts w:ascii="Times New Roman" w:hAnsi="Times New Roman"/>
          <w:color w:val="000000"/>
          <w:sz w:val="24"/>
          <w:szCs w:val="20"/>
        </w:rPr>
        <w:t>;</w:t>
      </w:r>
      <w:r w:rsidRPr="001B039D">
        <w:rPr>
          <w:rFonts w:ascii="Times New Roman" w:hAnsi="Times New Roman"/>
          <w:color w:val="000000"/>
          <w:sz w:val="24"/>
          <w:szCs w:val="20"/>
        </w:rPr>
        <w:t xml:space="preserve"> Yuan, </w:t>
      </w:r>
      <w:r>
        <w:rPr>
          <w:rFonts w:ascii="Times New Roman" w:hAnsi="Times New Roman"/>
          <w:color w:val="000000"/>
          <w:sz w:val="24"/>
          <w:szCs w:val="20"/>
        </w:rPr>
        <w:t>L.;</w:t>
      </w:r>
      <w:r w:rsidRPr="001B039D">
        <w:rPr>
          <w:rFonts w:ascii="Times New Roman" w:hAnsi="Times New Roman"/>
          <w:color w:val="000000"/>
          <w:sz w:val="24"/>
          <w:szCs w:val="20"/>
        </w:rPr>
        <w:t xml:space="preserve"> Yu, H.</w:t>
      </w:r>
      <w:r>
        <w:rPr>
          <w:rFonts w:ascii="Times New Roman" w:hAnsi="Times New Roman"/>
          <w:color w:val="000000"/>
          <w:sz w:val="24"/>
          <w:szCs w:val="20"/>
        </w:rPr>
        <w:t>,</w:t>
      </w:r>
      <w:r w:rsidRPr="001B039D">
        <w:rPr>
          <w:rFonts w:ascii="Times New Roman" w:hAnsi="Times New Roman"/>
          <w:color w:val="000000"/>
          <w:sz w:val="24"/>
          <w:szCs w:val="20"/>
        </w:rPr>
        <w:t xml:space="preserve"> </w:t>
      </w:r>
      <w:r>
        <w:rPr>
          <w:rFonts w:ascii="Times New Roman" w:hAnsi="Times New Roman"/>
          <w:color w:val="000000"/>
          <w:sz w:val="24"/>
          <w:szCs w:val="20"/>
        </w:rPr>
        <w:t xml:space="preserve">2017, </w:t>
      </w:r>
      <w:r w:rsidRPr="001B039D">
        <w:rPr>
          <w:rFonts w:ascii="Times New Roman" w:hAnsi="Times New Roman"/>
          <w:color w:val="000000"/>
          <w:sz w:val="24"/>
          <w:szCs w:val="20"/>
        </w:rPr>
        <w:t>Preparation of a Reduced Graphene Oxide @Stainless Steel Net Electrode and Its Applicationof Electrochemical Removal Pb(II)</w:t>
      </w:r>
      <w:r>
        <w:rPr>
          <w:rFonts w:ascii="Times New Roman" w:hAnsi="Times New Roman"/>
          <w:color w:val="000000"/>
          <w:sz w:val="24"/>
          <w:szCs w:val="20"/>
        </w:rPr>
        <w:t>,</w:t>
      </w:r>
      <w:r w:rsidRPr="001B039D">
        <w:rPr>
          <w:rFonts w:ascii="Times New Roman" w:hAnsi="Times New Roman"/>
          <w:color w:val="000000"/>
          <w:sz w:val="24"/>
          <w:szCs w:val="20"/>
        </w:rPr>
        <w:t xml:space="preserve"> </w:t>
      </w:r>
      <w:r w:rsidRPr="001B039D">
        <w:rPr>
          <w:rFonts w:ascii="Times New Roman" w:hAnsi="Times New Roman"/>
          <w:i/>
          <w:color w:val="000000"/>
          <w:sz w:val="24"/>
          <w:szCs w:val="20"/>
        </w:rPr>
        <w:t>J. Electrochem. Soc.</w:t>
      </w:r>
      <w:r w:rsidRPr="001B039D">
        <w:rPr>
          <w:rFonts w:ascii="Times New Roman" w:hAnsi="Times New Roman"/>
          <w:color w:val="000000"/>
          <w:sz w:val="24"/>
          <w:szCs w:val="20"/>
        </w:rPr>
        <w:t xml:space="preserve">, vol. 164(4), pp.: E71–E77. </w:t>
      </w:r>
      <w:r w:rsidR="00014BB7" w:rsidRPr="00014BB7">
        <w:rPr>
          <w:rFonts w:ascii="Times New Roman" w:hAnsi="Times New Roman"/>
          <w:color w:val="000000"/>
          <w:sz w:val="24"/>
          <w:szCs w:val="20"/>
        </w:rPr>
        <w:t>DOI: 10.1149/2.1211704jes</w:t>
      </w:r>
    </w:p>
    <w:p w:rsidR="0011583B" w:rsidRDefault="0011583B" w:rsidP="00CA2EAA">
      <w:pPr>
        <w:spacing w:line="240" w:lineRule="auto"/>
        <w:ind w:left="720" w:hanging="720"/>
        <w:contextualSpacing/>
        <w:jc w:val="both"/>
        <w:rPr>
          <w:rFonts w:ascii="Times New Roman" w:hAnsi="Times New Roman"/>
          <w:color w:val="000000"/>
          <w:sz w:val="24"/>
          <w:szCs w:val="20"/>
        </w:rPr>
      </w:pPr>
    </w:p>
    <w:p w:rsidR="00CA2EAA" w:rsidRDefault="0011583B" w:rsidP="00CA2EAA">
      <w:pPr>
        <w:spacing w:line="240" w:lineRule="auto"/>
        <w:ind w:left="720" w:hanging="720"/>
        <w:contextualSpacing/>
        <w:jc w:val="both"/>
        <w:rPr>
          <w:rFonts w:ascii="Times New Roman" w:hAnsi="Times New Roman"/>
          <w:color w:val="000000"/>
          <w:sz w:val="24"/>
          <w:szCs w:val="20"/>
        </w:rPr>
      </w:pPr>
      <w:r w:rsidRPr="00CB51F0">
        <w:rPr>
          <w:rFonts w:ascii="Times New Roman" w:hAnsi="Times New Roman"/>
          <w:color w:val="000000"/>
          <w:sz w:val="24"/>
          <w:szCs w:val="20"/>
        </w:rPr>
        <w:t xml:space="preserve">Limousin, G.; Gaudet, J.-P.; Charlet, L.; Szenknect, S.; Barthès, V.; Krimissa, M., 2007, Sorption isotherms: A review on physical bases, modeling and measurement, </w:t>
      </w:r>
      <w:r w:rsidRPr="00CB51F0">
        <w:rPr>
          <w:rFonts w:ascii="Times New Roman" w:hAnsi="Times New Roman"/>
          <w:i/>
          <w:iCs/>
          <w:color w:val="000000"/>
          <w:sz w:val="24"/>
          <w:szCs w:val="20"/>
        </w:rPr>
        <w:t>Appl. Geochem</w:t>
      </w:r>
      <w:r w:rsidRPr="00CB51F0">
        <w:rPr>
          <w:rFonts w:ascii="Times New Roman" w:hAnsi="Times New Roman"/>
          <w:color w:val="000000"/>
          <w:sz w:val="24"/>
          <w:szCs w:val="20"/>
        </w:rPr>
        <w:t xml:space="preserve">, </w:t>
      </w:r>
      <w:r w:rsidRPr="00CB51F0">
        <w:rPr>
          <w:rFonts w:ascii="Times New Roman" w:hAnsi="Times New Roman"/>
          <w:iCs/>
          <w:color w:val="000000"/>
          <w:sz w:val="24"/>
          <w:szCs w:val="20"/>
        </w:rPr>
        <w:t>vol. 22</w:t>
      </w:r>
      <w:r w:rsidRPr="00CB51F0">
        <w:rPr>
          <w:rFonts w:ascii="Times New Roman" w:hAnsi="Times New Roman"/>
          <w:color w:val="000000"/>
          <w:sz w:val="24"/>
          <w:szCs w:val="20"/>
        </w:rPr>
        <w:t>, pp.: 249–275.</w:t>
      </w:r>
      <w:r w:rsidR="00014BB7">
        <w:rPr>
          <w:rFonts w:ascii="Times New Roman" w:hAnsi="Times New Roman"/>
          <w:color w:val="000000"/>
          <w:sz w:val="24"/>
          <w:szCs w:val="20"/>
        </w:rPr>
        <w:t xml:space="preserve"> </w:t>
      </w:r>
      <w:r w:rsidR="009F6AC7" w:rsidRPr="009F6AC7">
        <w:rPr>
          <w:rFonts w:ascii="Times New Roman" w:hAnsi="Times New Roman"/>
          <w:color w:val="000000"/>
          <w:sz w:val="24"/>
          <w:szCs w:val="20"/>
        </w:rPr>
        <w:t>doi:10.1016/j.apgeochem.2006.09.010</w:t>
      </w:r>
    </w:p>
    <w:p w:rsidR="00C05F35" w:rsidRDefault="00C05F35" w:rsidP="00C05F35">
      <w:pPr>
        <w:spacing w:line="240" w:lineRule="auto"/>
        <w:ind w:left="720" w:hanging="720"/>
        <w:contextualSpacing/>
        <w:jc w:val="both"/>
        <w:rPr>
          <w:rFonts w:ascii="Times New Roman" w:hAnsi="Times New Roman"/>
          <w:color w:val="000000"/>
          <w:sz w:val="24"/>
          <w:szCs w:val="20"/>
        </w:rPr>
      </w:pPr>
    </w:p>
    <w:p w:rsidR="002C74B0" w:rsidRDefault="002C74B0" w:rsidP="002C74B0">
      <w:pPr>
        <w:spacing w:line="240" w:lineRule="auto"/>
        <w:ind w:left="720" w:hanging="720"/>
        <w:contextualSpacing/>
        <w:jc w:val="both"/>
        <w:rPr>
          <w:rFonts w:ascii="Times New Roman" w:hAnsi="Times New Roman"/>
          <w:sz w:val="24"/>
          <w:szCs w:val="20"/>
        </w:rPr>
      </w:pPr>
      <w:r w:rsidRPr="00DD3DCD">
        <w:rPr>
          <w:rFonts w:ascii="Times New Roman" w:hAnsi="Times New Roman"/>
          <w:color w:val="000000"/>
          <w:sz w:val="24"/>
          <w:szCs w:val="20"/>
        </w:rPr>
        <w:t xml:space="preserve">Melita, L.; Popescu, M., 2008, Removal of </w:t>
      </w:r>
      <w:bookmarkStart w:id="0" w:name="_GoBack"/>
      <w:bookmarkEnd w:id="0"/>
      <w:proofErr w:type="gramStart"/>
      <w:r w:rsidRPr="00DD3DCD">
        <w:rPr>
          <w:rFonts w:ascii="Times New Roman" w:hAnsi="Times New Roman"/>
          <w:color w:val="000000"/>
          <w:sz w:val="24"/>
          <w:szCs w:val="20"/>
        </w:rPr>
        <w:t>Cr(</w:t>
      </w:r>
      <w:proofErr w:type="gramEnd"/>
      <w:r w:rsidRPr="00DD3DCD">
        <w:rPr>
          <w:rFonts w:ascii="Times New Roman" w:hAnsi="Times New Roman"/>
          <w:color w:val="000000"/>
          <w:sz w:val="24"/>
          <w:szCs w:val="20"/>
        </w:rPr>
        <w:t xml:space="preserve">VI) from industrial water effluents and surface waters using activated composite membranes, </w:t>
      </w:r>
      <w:r w:rsidRPr="00DD3DCD">
        <w:rPr>
          <w:rFonts w:ascii="Times New Roman" w:hAnsi="Times New Roman"/>
          <w:i/>
          <w:iCs/>
          <w:color w:val="000000"/>
          <w:sz w:val="24"/>
          <w:szCs w:val="20"/>
        </w:rPr>
        <w:t>Journal of Membrane Science</w:t>
      </w:r>
      <w:r w:rsidRPr="00DD3DCD">
        <w:rPr>
          <w:rFonts w:ascii="Times New Roman" w:hAnsi="Times New Roman"/>
          <w:iCs/>
          <w:color w:val="000000"/>
          <w:sz w:val="24"/>
          <w:szCs w:val="20"/>
        </w:rPr>
        <w:t>, vol. 312(1-2)</w:t>
      </w:r>
      <w:r w:rsidRPr="00DD3DCD">
        <w:rPr>
          <w:rFonts w:ascii="Times New Roman" w:hAnsi="Times New Roman"/>
          <w:color w:val="000000"/>
          <w:sz w:val="24"/>
          <w:szCs w:val="20"/>
        </w:rPr>
        <w:t>, pp.: 157–162.</w:t>
      </w:r>
      <w:r w:rsidRPr="00DD3DCD">
        <w:rPr>
          <w:rFonts w:ascii="Times New Roman" w:hAnsi="Times New Roman"/>
          <w:sz w:val="24"/>
          <w:szCs w:val="20"/>
        </w:rPr>
        <w:t xml:space="preserve"> </w:t>
      </w:r>
      <w:r w:rsidR="00073D2D" w:rsidRPr="00073D2D">
        <w:rPr>
          <w:rFonts w:ascii="Times New Roman" w:hAnsi="Times New Roman"/>
          <w:sz w:val="24"/>
          <w:szCs w:val="20"/>
        </w:rPr>
        <w:t>DOI: 10.1016/j.memsci.2007.12.049</w:t>
      </w:r>
    </w:p>
    <w:p w:rsidR="002C74B0" w:rsidRDefault="002C74B0" w:rsidP="00BD56C7">
      <w:pPr>
        <w:spacing w:line="240" w:lineRule="auto"/>
        <w:ind w:left="720" w:hanging="720"/>
        <w:contextualSpacing/>
        <w:jc w:val="both"/>
        <w:rPr>
          <w:rFonts w:ascii="Times New Roman" w:hAnsi="Times New Roman"/>
          <w:bCs/>
          <w:sz w:val="24"/>
          <w:szCs w:val="20"/>
        </w:rPr>
      </w:pPr>
    </w:p>
    <w:p w:rsidR="00BD56C7" w:rsidRDefault="00A7392F" w:rsidP="00BD56C7">
      <w:pPr>
        <w:spacing w:line="240" w:lineRule="auto"/>
        <w:ind w:left="720" w:hanging="720"/>
        <w:contextualSpacing/>
        <w:jc w:val="both"/>
        <w:rPr>
          <w:rFonts w:ascii="Times New Roman" w:hAnsi="Times New Roman"/>
          <w:bCs/>
          <w:sz w:val="24"/>
          <w:szCs w:val="20"/>
        </w:rPr>
      </w:pPr>
      <w:r w:rsidRPr="006E585A">
        <w:rPr>
          <w:rFonts w:ascii="Times New Roman" w:hAnsi="Times New Roman"/>
          <w:bCs/>
          <w:sz w:val="24"/>
          <w:szCs w:val="20"/>
        </w:rPr>
        <w:t xml:space="preserve">Perea-Moreno, </w:t>
      </w:r>
      <w:r w:rsidR="006E585A" w:rsidRPr="006E585A">
        <w:rPr>
          <w:rFonts w:ascii="Times New Roman" w:hAnsi="Times New Roman"/>
          <w:bCs/>
          <w:sz w:val="24"/>
          <w:szCs w:val="20"/>
        </w:rPr>
        <w:t xml:space="preserve">M.-A.; </w:t>
      </w:r>
      <w:r w:rsidRPr="006E585A">
        <w:rPr>
          <w:rFonts w:ascii="Times New Roman" w:hAnsi="Times New Roman"/>
          <w:bCs/>
          <w:sz w:val="24"/>
          <w:szCs w:val="20"/>
        </w:rPr>
        <w:t>Sameron-Manzano,</w:t>
      </w:r>
      <w:r w:rsidR="006E585A" w:rsidRPr="006E585A">
        <w:rPr>
          <w:rFonts w:ascii="Times New Roman" w:hAnsi="Times New Roman"/>
          <w:bCs/>
          <w:sz w:val="24"/>
          <w:szCs w:val="20"/>
        </w:rPr>
        <w:t xml:space="preserve"> E.; </w:t>
      </w:r>
      <w:r w:rsidRPr="006E585A">
        <w:rPr>
          <w:rFonts w:ascii="Times New Roman" w:hAnsi="Times New Roman"/>
          <w:bCs/>
          <w:sz w:val="24"/>
          <w:szCs w:val="20"/>
        </w:rPr>
        <w:t xml:space="preserve">Perea-Moreno, </w:t>
      </w:r>
      <w:r w:rsidR="006E585A" w:rsidRPr="006E585A">
        <w:rPr>
          <w:rFonts w:ascii="Times New Roman" w:hAnsi="Times New Roman"/>
          <w:bCs/>
          <w:sz w:val="24"/>
          <w:szCs w:val="20"/>
        </w:rPr>
        <w:t xml:space="preserve">A.-J., 2019, </w:t>
      </w:r>
      <w:r w:rsidRPr="006E585A">
        <w:rPr>
          <w:rFonts w:ascii="Times New Roman" w:hAnsi="Times New Roman"/>
          <w:bCs/>
          <w:sz w:val="24"/>
          <w:szCs w:val="20"/>
        </w:rPr>
        <w:t>Biomass as Renewable Ene</w:t>
      </w:r>
      <w:r w:rsidR="006E585A" w:rsidRPr="006E585A">
        <w:rPr>
          <w:rFonts w:ascii="Times New Roman" w:hAnsi="Times New Roman"/>
          <w:bCs/>
          <w:sz w:val="24"/>
          <w:szCs w:val="20"/>
        </w:rPr>
        <w:t>rgy: Worldwide Research Trends,</w:t>
      </w:r>
      <w:r w:rsidRPr="006E585A">
        <w:rPr>
          <w:rFonts w:ascii="Times New Roman" w:hAnsi="Times New Roman"/>
          <w:bCs/>
          <w:sz w:val="24"/>
          <w:szCs w:val="20"/>
        </w:rPr>
        <w:t xml:space="preserve"> </w:t>
      </w:r>
      <w:r w:rsidRPr="006E585A">
        <w:rPr>
          <w:rFonts w:ascii="Times New Roman" w:hAnsi="Times New Roman"/>
          <w:bCs/>
          <w:i/>
          <w:sz w:val="24"/>
          <w:szCs w:val="20"/>
        </w:rPr>
        <w:t>Sustainability</w:t>
      </w:r>
      <w:r w:rsidR="006E585A" w:rsidRPr="006E585A">
        <w:rPr>
          <w:rFonts w:ascii="Times New Roman" w:hAnsi="Times New Roman"/>
          <w:bCs/>
          <w:sz w:val="24"/>
          <w:szCs w:val="20"/>
        </w:rPr>
        <w:t>, vol. 1</w:t>
      </w:r>
      <w:r w:rsidR="00F9464D">
        <w:rPr>
          <w:rFonts w:ascii="Times New Roman" w:hAnsi="Times New Roman"/>
          <w:bCs/>
          <w:sz w:val="24"/>
          <w:szCs w:val="20"/>
        </w:rPr>
        <w:t>1(3), 863</w:t>
      </w:r>
      <w:r w:rsidR="006E585A" w:rsidRPr="006E585A">
        <w:rPr>
          <w:rFonts w:ascii="Times New Roman" w:hAnsi="Times New Roman"/>
          <w:bCs/>
          <w:sz w:val="24"/>
          <w:szCs w:val="20"/>
        </w:rPr>
        <w:t>, pp.: 1-19</w:t>
      </w:r>
      <w:r w:rsidRPr="006E585A">
        <w:rPr>
          <w:rFonts w:ascii="Times New Roman" w:hAnsi="Times New Roman"/>
          <w:bCs/>
          <w:sz w:val="24"/>
          <w:szCs w:val="20"/>
        </w:rPr>
        <w:t>.</w:t>
      </w:r>
      <w:r w:rsidR="00906056">
        <w:rPr>
          <w:rFonts w:ascii="Times New Roman" w:hAnsi="Times New Roman"/>
          <w:bCs/>
          <w:sz w:val="24"/>
          <w:szCs w:val="20"/>
        </w:rPr>
        <w:t xml:space="preserve"> </w:t>
      </w:r>
      <w:r w:rsidR="00906056" w:rsidRPr="00906056">
        <w:rPr>
          <w:rFonts w:ascii="Times New Roman" w:hAnsi="Times New Roman"/>
          <w:bCs/>
          <w:sz w:val="24"/>
          <w:szCs w:val="20"/>
        </w:rPr>
        <w:t>https://doi.org/10.3390/su11030863</w:t>
      </w:r>
    </w:p>
    <w:p w:rsidR="00DE418F" w:rsidRDefault="00DE418F" w:rsidP="00BD56C7">
      <w:pPr>
        <w:spacing w:line="240" w:lineRule="auto"/>
        <w:ind w:left="720" w:hanging="720"/>
        <w:contextualSpacing/>
        <w:jc w:val="both"/>
        <w:rPr>
          <w:rFonts w:ascii="Times New Roman" w:hAnsi="Times New Roman"/>
          <w:color w:val="000000"/>
          <w:sz w:val="24"/>
          <w:szCs w:val="20"/>
        </w:rPr>
      </w:pPr>
    </w:p>
    <w:p w:rsidR="00BD56C7" w:rsidRDefault="00DE418F" w:rsidP="00BD56C7">
      <w:pPr>
        <w:spacing w:line="240" w:lineRule="auto"/>
        <w:ind w:left="720" w:hanging="720"/>
        <w:contextualSpacing/>
        <w:jc w:val="both"/>
        <w:rPr>
          <w:rFonts w:ascii="Times New Roman" w:hAnsi="Times New Roman"/>
          <w:color w:val="000000"/>
          <w:sz w:val="24"/>
          <w:szCs w:val="20"/>
        </w:rPr>
      </w:pPr>
      <w:r w:rsidRPr="001B039D">
        <w:rPr>
          <w:rFonts w:ascii="Times New Roman" w:hAnsi="Times New Roman"/>
          <w:color w:val="000000"/>
          <w:sz w:val="24"/>
          <w:szCs w:val="20"/>
        </w:rPr>
        <w:t xml:space="preserve">Tawinteung, N.; Parkpian, P.; </w:t>
      </w:r>
      <w:r w:rsidR="00485FAB">
        <w:rPr>
          <w:rFonts w:ascii="Times New Roman" w:hAnsi="Times New Roman"/>
          <w:color w:val="000000"/>
          <w:sz w:val="24"/>
          <w:szCs w:val="20"/>
        </w:rPr>
        <w:t>DeL</w:t>
      </w:r>
      <w:r w:rsidRPr="001B039D">
        <w:rPr>
          <w:rFonts w:ascii="Times New Roman" w:hAnsi="Times New Roman"/>
          <w:color w:val="000000"/>
          <w:sz w:val="24"/>
          <w:szCs w:val="20"/>
        </w:rPr>
        <w:t xml:space="preserve">aune, R. D.; Jugsujinda, A., 2005, Evaluation of extraction procedures for removing lead from contaminated soil, </w:t>
      </w:r>
      <w:r w:rsidRPr="001B039D">
        <w:rPr>
          <w:rFonts w:ascii="Times New Roman" w:hAnsi="Times New Roman"/>
          <w:i/>
          <w:color w:val="000000"/>
          <w:sz w:val="24"/>
          <w:szCs w:val="20"/>
        </w:rPr>
        <w:t>J</w:t>
      </w:r>
      <w:r w:rsidR="00485FAB">
        <w:rPr>
          <w:rFonts w:ascii="Times New Roman" w:hAnsi="Times New Roman"/>
          <w:i/>
          <w:color w:val="000000"/>
          <w:sz w:val="24"/>
          <w:szCs w:val="20"/>
        </w:rPr>
        <w:t>.</w:t>
      </w:r>
      <w:r w:rsidRPr="001B039D">
        <w:rPr>
          <w:rFonts w:ascii="Times New Roman" w:hAnsi="Times New Roman"/>
          <w:i/>
          <w:color w:val="000000"/>
          <w:sz w:val="24"/>
          <w:szCs w:val="20"/>
        </w:rPr>
        <w:t xml:space="preserve"> Environ. </w:t>
      </w:r>
      <w:r w:rsidR="00485FAB">
        <w:rPr>
          <w:rFonts w:ascii="Times New Roman" w:hAnsi="Times New Roman"/>
          <w:i/>
          <w:color w:val="000000"/>
          <w:sz w:val="24"/>
          <w:szCs w:val="20"/>
        </w:rPr>
        <w:t>Sci. Health A Tox. Hazard Subst. Environ. Eng.</w:t>
      </w:r>
      <w:r w:rsidRPr="001B039D">
        <w:rPr>
          <w:rFonts w:ascii="Times New Roman" w:hAnsi="Times New Roman"/>
          <w:color w:val="000000"/>
          <w:sz w:val="24"/>
          <w:szCs w:val="20"/>
        </w:rPr>
        <w:t>, vol. 40</w:t>
      </w:r>
      <w:r w:rsidR="00F9464D">
        <w:rPr>
          <w:rFonts w:ascii="Times New Roman" w:hAnsi="Times New Roman"/>
          <w:color w:val="000000"/>
          <w:sz w:val="24"/>
          <w:szCs w:val="20"/>
        </w:rPr>
        <w:t>(2)</w:t>
      </w:r>
      <w:r w:rsidRPr="001B039D">
        <w:rPr>
          <w:rFonts w:ascii="Times New Roman" w:hAnsi="Times New Roman"/>
          <w:color w:val="000000"/>
          <w:sz w:val="24"/>
          <w:szCs w:val="20"/>
        </w:rPr>
        <w:t>, pp.: 385–407.</w:t>
      </w:r>
      <w:r w:rsidR="00F9464D">
        <w:rPr>
          <w:rFonts w:ascii="Times New Roman" w:hAnsi="Times New Roman"/>
          <w:color w:val="000000"/>
          <w:sz w:val="24"/>
          <w:szCs w:val="20"/>
        </w:rPr>
        <w:t xml:space="preserve"> </w:t>
      </w:r>
      <w:r w:rsidR="00F9464D" w:rsidRPr="00F9464D">
        <w:rPr>
          <w:rFonts w:ascii="Times New Roman" w:hAnsi="Times New Roman"/>
          <w:color w:val="000000"/>
          <w:sz w:val="24"/>
          <w:szCs w:val="20"/>
        </w:rPr>
        <w:t>DOI: 10.1081/ese-200045631</w:t>
      </w:r>
    </w:p>
    <w:p w:rsidR="00DE418F" w:rsidRDefault="00DE418F" w:rsidP="00BD56C7">
      <w:pPr>
        <w:spacing w:line="240" w:lineRule="auto"/>
        <w:ind w:left="720" w:hanging="720"/>
        <w:contextualSpacing/>
        <w:jc w:val="both"/>
        <w:rPr>
          <w:rFonts w:ascii="Times New Roman" w:hAnsi="Times New Roman"/>
          <w:color w:val="000000"/>
          <w:sz w:val="24"/>
          <w:szCs w:val="20"/>
        </w:rPr>
      </w:pPr>
    </w:p>
    <w:p w:rsidR="000B0BD9" w:rsidRPr="008E7994" w:rsidRDefault="00A7392F" w:rsidP="008E7994">
      <w:pPr>
        <w:spacing w:line="240" w:lineRule="auto"/>
        <w:ind w:left="720" w:hanging="720"/>
        <w:contextualSpacing/>
        <w:jc w:val="both"/>
        <w:rPr>
          <w:rFonts w:ascii="Times New Roman" w:hAnsi="Times New Roman"/>
          <w:color w:val="000000"/>
          <w:sz w:val="24"/>
          <w:szCs w:val="20"/>
        </w:rPr>
      </w:pPr>
      <w:r w:rsidRPr="00BD56C7">
        <w:rPr>
          <w:rFonts w:ascii="Times New Roman" w:hAnsi="Times New Roman"/>
          <w:color w:val="000000"/>
          <w:sz w:val="24"/>
          <w:szCs w:val="20"/>
        </w:rPr>
        <w:lastRenderedPageBreak/>
        <w:t xml:space="preserve">Tsai, </w:t>
      </w:r>
      <w:r w:rsidR="00BD56C7" w:rsidRPr="00BD56C7">
        <w:rPr>
          <w:rFonts w:ascii="Times New Roman" w:hAnsi="Times New Roman"/>
          <w:color w:val="000000"/>
          <w:sz w:val="24"/>
          <w:szCs w:val="20"/>
        </w:rPr>
        <w:t xml:space="preserve">W.-C.; </w:t>
      </w:r>
      <w:r w:rsidRPr="00BD56C7">
        <w:rPr>
          <w:rFonts w:ascii="Times New Roman" w:hAnsi="Times New Roman"/>
          <w:color w:val="000000"/>
          <w:sz w:val="24"/>
          <w:szCs w:val="20"/>
        </w:rPr>
        <w:t xml:space="preserve">de Luna, </w:t>
      </w:r>
      <w:r w:rsidR="00BD56C7" w:rsidRPr="00BD56C7">
        <w:rPr>
          <w:rFonts w:ascii="Times New Roman" w:hAnsi="Times New Roman"/>
          <w:color w:val="000000"/>
          <w:sz w:val="24"/>
          <w:szCs w:val="20"/>
        </w:rPr>
        <w:t>M. D.</w:t>
      </w:r>
      <w:r w:rsidR="00BD56C7" w:rsidRPr="00BD56C7">
        <w:rPr>
          <w:rFonts w:ascii="Times New Roman" w:hAnsi="Times New Roman"/>
          <w:color w:val="000000"/>
          <w:sz w:val="24"/>
          <w:szCs w:val="20"/>
        </w:rPr>
        <w:t xml:space="preserve"> G.; </w:t>
      </w:r>
      <w:r w:rsidRPr="00BD56C7">
        <w:rPr>
          <w:rFonts w:ascii="Times New Roman" w:hAnsi="Times New Roman"/>
          <w:color w:val="000000"/>
          <w:sz w:val="24"/>
          <w:szCs w:val="20"/>
        </w:rPr>
        <w:t xml:space="preserve">Bermillo-Arriesgado, </w:t>
      </w:r>
      <w:r w:rsidR="00BD56C7" w:rsidRPr="00BD56C7">
        <w:rPr>
          <w:rFonts w:ascii="Times New Roman" w:hAnsi="Times New Roman"/>
          <w:color w:val="000000"/>
          <w:sz w:val="24"/>
          <w:szCs w:val="20"/>
        </w:rPr>
        <w:t xml:space="preserve">H. L. P.; </w:t>
      </w:r>
      <w:r w:rsidRPr="00BD56C7">
        <w:rPr>
          <w:rFonts w:ascii="Times New Roman" w:hAnsi="Times New Roman"/>
          <w:color w:val="000000"/>
          <w:sz w:val="24"/>
          <w:szCs w:val="20"/>
        </w:rPr>
        <w:t xml:space="preserve">Futalan, </w:t>
      </w:r>
      <w:r w:rsidR="00BD56C7" w:rsidRPr="00BD56C7">
        <w:rPr>
          <w:rFonts w:ascii="Times New Roman" w:hAnsi="Times New Roman"/>
          <w:color w:val="000000"/>
          <w:sz w:val="24"/>
          <w:szCs w:val="20"/>
        </w:rPr>
        <w:t xml:space="preserve">C. M.; </w:t>
      </w:r>
      <w:r w:rsidRPr="00BD56C7">
        <w:rPr>
          <w:rFonts w:ascii="Times New Roman" w:hAnsi="Times New Roman"/>
          <w:color w:val="000000"/>
          <w:sz w:val="24"/>
          <w:szCs w:val="20"/>
        </w:rPr>
        <w:t xml:space="preserve">Colades, </w:t>
      </w:r>
      <w:r w:rsidR="00BD56C7" w:rsidRPr="00BD56C7">
        <w:rPr>
          <w:rFonts w:ascii="Times New Roman" w:hAnsi="Times New Roman"/>
          <w:color w:val="000000"/>
          <w:sz w:val="24"/>
          <w:szCs w:val="20"/>
        </w:rPr>
        <w:t xml:space="preserve">J. I.; </w:t>
      </w:r>
      <w:r w:rsidRPr="00BD56C7">
        <w:rPr>
          <w:rFonts w:ascii="Times New Roman" w:hAnsi="Times New Roman"/>
          <w:color w:val="000000"/>
          <w:sz w:val="24"/>
          <w:szCs w:val="20"/>
        </w:rPr>
        <w:t xml:space="preserve">Wan, </w:t>
      </w:r>
      <w:r w:rsidR="00BD56C7" w:rsidRPr="00BD56C7">
        <w:rPr>
          <w:rFonts w:ascii="Times New Roman" w:hAnsi="Times New Roman"/>
          <w:color w:val="000000"/>
          <w:sz w:val="24"/>
          <w:szCs w:val="20"/>
        </w:rPr>
        <w:t>M.-W.</w:t>
      </w:r>
      <w:r w:rsidR="00BD56C7" w:rsidRPr="00BD56C7">
        <w:rPr>
          <w:rFonts w:ascii="Times New Roman" w:hAnsi="Times New Roman"/>
          <w:color w:val="000000"/>
          <w:sz w:val="24"/>
          <w:szCs w:val="20"/>
        </w:rPr>
        <w:t xml:space="preserve">, 2016, </w:t>
      </w:r>
      <w:r w:rsidRPr="00BD56C7">
        <w:rPr>
          <w:rFonts w:ascii="Times New Roman" w:hAnsi="Times New Roman"/>
          <w:color w:val="000000"/>
          <w:sz w:val="24"/>
          <w:szCs w:val="20"/>
        </w:rPr>
        <w:t>Competitive Fixed-Bed Adsorption of Pb(II), Cu(II), and Ni(II) from Aqueous Solution U</w:t>
      </w:r>
      <w:r w:rsidR="00BD56C7" w:rsidRPr="00BD56C7">
        <w:rPr>
          <w:rFonts w:ascii="Times New Roman" w:hAnsi="Times New Roman"/>
          <w:color w:val="000000"/>
          <w:sz w:val="24"/>
          <w:szCs w:val="20"/>
        </w:rPr>
        <w:t>sing Chitosan-Coated Bentonite,</w:t>
      </w:r>
      <w:r w:rsidRPr="00BD56C7">
        <w:rPr>
          <w:rFonts w:ascii="Times New Roman" w:hAnsi="Times New Roman"/>
          <w:color w:val="000000"/>
          <w:sz w:val="24"/>
          <w:szCs w:val="20"/>
        </w:rPr>
        <w:t xml:space="preserve"> </w:t>
      </w:r>
      <w:r w:rsidRPr="00BD56C7">
        <w:rPr>
          <w:rFonts w:ascii="Times New Roman" w:hAnsi="Times New Roman"/>
          <w:i/>
          <w:color w:val="000000"/>
          <w:sz w:val="24"/>
          <w:szCs w:val="20"/>
        </w:rPr>
        <w:t>International Journal of Polymer Science</w:t>
      </w:r>
      <w:r w:rsidRPr="00BD56C7">
        <w:rPr>
          <w:rFonts w:ascii="Times New Roman" w:hAnsi="Times New Roman"/>
          <w:color w:val="000000"/>
          <w:sz w:val="24"/>
          <w:szCs w:val="20"/>
        </w:rPr>
        <w:t>, vol. 2016,</w:t>
      </w:r>
      <w:r w:rsidR="00BD56C7" w:rsidRPr="00BD56C7">
        <w:rPr>
          <w:rFonts w:ascii="Times New Roman" w:hAnsi="Times New Roman"/>
          <w:color w:val="000000"/>
          <w:sz w:val="24"/>
          <w:szCs w:val="20"/>
        </w:rPr>
        <w:t xml:space="preserve"> pp.: 1-11</w:t>
      </w:r>
      <w:r w:rsidRPr="00BD56C7">
        <w:rPr>
          <w:rFonts w:ascii="Times New Roman" w:hAnsi="Times New Roman"/>
          <w:color w:val="000000"/>
          <w:sz w:val="24"/>
          <w:szCs w:val="20"/>
        </w:rPr>
        <w:t>.</w:t>
      </w:r>
      <w:r w:rsidR="00AC005F">
        <w:rPr>
          <w:rFonts w:ascii="Times New Roman" w:hAnsi="Times New Roman"/>
          <w:color w:val="000000"/>
          <w:sz w:val="24"/>
          <w:szCs w:val="20"/>
        </w:rPr>
        <w:t xml:space="preserve"> </w:t>
      </w:r>
      <w:r w:rsidR="00AC005F" w:rsidRPr="00AC005F">
        <w:rPr>
          <w:rFonts w:ascii="Times New Roman" w:hAnsi="Times New Roman"/>
          <w:color w:val="000000"/>
          <w:sz w:val="24"/>
          <w:szCs w:val="20"/>
        </w:rPr>
        <w:t>https://doi.org/10.1155/2016/1608939</w:t>
      </w:r>
    </w:p>
    <w:sectPr w:rsidR="000B0BD9" w:rsidRPr="008E7994" w:rsidSect="008813F9">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nsid w:val="671D0EB5"/>
    <w:multiLevelType w:val="hybridMultilevel"/>
    <w:tmpl w:val="84AAE74E"/>
    <w:lvl w:ilvl="0" w:tplc="F18AD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7C"/>
    <w:rsid w:val="000116E5"/>
    <w:rsid w:val="00014BB7"/>
    <w:rsid w:val="000252E7"/>
    <w:rsid w:val="0003646D"/>
    <w:rsid w:val="0004201E"/>
    <w:rsid w:val="0004581C"/>
    <w:rsid w:val="00073D2D"/>
    <w:rsid w:val="0007451E"/>
    <w:rsid w:val="000846B3"/>
    <w:rsid w:val="000A7876"/>
    <w:rsid w:val="000B0BD9"/>
    <w:rsid w:val="000B3CD0"/>
    <w:rsid w:val="000C0E3D"/>
    <w:rsid w:val="000D192D"/>
    <w:rsid w:val="000D3C6D"/>
    <w:rsid w:val="000D5100"/>
    <w:rsid w:val="000D5DB6"/>
    <w:rsid w:val="00100A8F"/>
    <w:rsid w:val="0010192E"/>
    <w:rsid w:val="0011583B"/>
    <w:rsid w:val="001322DC"/>
    <w:rsid w:val="001509B3"/>
    <w:rsid w:val="00161320"/>
    <w:rsid w:val="00164FE6"/>
    <w:rsid w:val="001769AB"/>
    <w:rsid w:val="00193773"/>
    <w:rsid w:val="001B039D"/>
    <w:rsid w:val="001C0D32"/>
    <w:rsid w:val="001C5000"/>
    <w:rsid w:val="001D2DC2"/>
    <w:rsid w:val="002077D1"/>
    <w:rsid w:val="0021077C"/>
    <w:rsid w:val="00226810"/>
    <w:rsid w:val="00244729"/>
    <w:rsid w:val="00274498"/>
    <w:rsid w:val="00281C5F"/>
    <w:rsid w:val="00283C7B"/>
    <w:rsid w:val="00291F6B"/>
    <w:rsid w:val="002A6D53"/>
    <w:rsid w:val="002B70E8"/>
    <w:rsid w:val="002C0E1B"/>
    <w:rsid w:val="002C74B0"/>
    <w:rsid w:val="002E2D72"/>
    <w:rsid w:val="002E6C1A"/>
    <w:rsid w:val="002F3537"/>
    <w:rsid w:val="00301212"/>
    <w:rsid w:val="00303BCB"/>
    <w:rsid w:val="00336229"/>
    <w:rsid w:val="00342AB0"/>
    <w:rsid w:val="00343010"/>
    <w:rsid w:val="00380251"/>
    <w:rsid w:val="00381933"/>
    <w:rsid w:val="00382D54"/>
    <w:rsid w:val="00382DEE"/>
    <w:rsid w:val="00391A15"/>
    <w:rsid w:val="00396FB6"/>
    <w:rsid w:val="003A1422"/>
    <w:rsid w:val="003C374E"/>
    <w:rsid w:val="003D618E"/>
    <w:rsid w:val="003D6C92"/>
    <w:rsid w:val="004033BF"/>
    <w:rsid w:val="004162CC"/>
    <w:rsid w:val="00444F37"/>
    <w:rsid w:val="00454EFE"/>
    <w:rsid w:val="0046123E"/>
    <w:rsid w:val="004802B0"/>
    <w:rsid w:val="004808FC"/>
    <w:rsid w:val="00485FAB"/>
    <w:rsid w:val="004901D2"/>
    <w:rsid w:val="004A2940"/>
    <w:rsid w:val="004E0241"/>
    <w:rsid w:val="004E18C7"/>
    <w:rsid w:val="004E6CDF"/>
    <w:rsid w:val="004F6F82"/>
    <w:rsid w:val="00512E4A"/>
    <w:rsid w:val="00533F1D"/>
    <w:rsid w:val="00536AB6"/>
    <w:rsid w:val="005432B7"/>
    <w:rsid w:val="00544FC6"/>
    <w:rsid w:val="005978A0"/>
    <w:rsid w:val="00597AD1"/>
    <w:rsid w:val="005E0163"/>
    <w:rsid w:val="005E743F"/>
    <w:rsid w:val="00604178"/>
    <w:rsid w:val="0063014E"/>
    <w:rsid w:val="00655D94"/>
    <w:rsid w:val="00676AB6"/>
    <w:rsid w:val="006B7B30"/>
    <w:rsid w:val="006E585A"/>
    <w:rsid w:val="006F0244"/>
    <w:rsid w:val="006F2DCA"/>
    <w:rsid w:val="00713E6A"/>
    <w:rsid w:val="00714AF3"/>
    <w:rsid w:val="00722BBA"/>
    <w:rsid w:val="00733FB4"/>
    <w:rsid w:val="00742BB7"/>
    <w:rsid w:val="007545C0"/>
    <w:rsid w:val="0076599E"/>
    <w:rsid w:val="00772157"/>
    <w:rsid w:val="007765DE"/>
    <w:rsid w:val="00796130"/>
    <w:rsid w:val="007A7620"/>
    <w:rsid w:val="007C52F6"/>
    <w:rsid w:val="007C6F7B"/>
    <w:rsid w:val="007D3470"/>
    <w:rsid w:val="00861557"/>
    <w:rsid w:val="008813F9"/>
    <w:rsid w:val="008832F7"/>
    <w:rsid w:val="00891333"/>
    <w:rsid w:val="008B1FFA"/>
    <w:rsid w:val="008B5BEF"/>
    <w:rsid w:val="008C455D"/>
    <w:rsid w:val="008C510A"/>
    <w:rsid w:val="008C7BB9"/>
    <w:rsid w:val="008D3649"/>
    <w:rsid w:val="008E34EA"/>
    <w:rsid w:val="008E7994"/>
    <w:rsid w:val="008F6D71"/>
    <w:rsid w:val="00906056"/>
    <w:rsid w:val="00911E01"/>
    <w:rsid w:val="009733AD"/>
    <w:rsid w:val="00977FE6"/>
    <w:rsid w:val="00986F50"/>
    <w:rsid w:val="009A59F0"/>
    <w:rsid w:val="009A6564"/>
    <w:rsid w:val="009F6AC7"/>
    <w:rsid w:val="00A03235"/>
    <w:rsid w:val="00A3304A"/>
    <w:rsid w:val="00A65EA9"/>
    <w:rsid w:val="00A70161"/>
    <w:rsid w:val="00A7392F"/>
    <w:rsid w:val="00A8070D"/>
    <w:rsid w:val="00A8319B"/>
    <w:rsid w:val="00AB4E4A"/>
    <w:rsid w:val="00AB7696"/>
    <w:rsid w:val="00AC005F"/>
    <w:rsid w:val="00AC3C30"/>
    <w:rsid w:val="00AD260E"/>
    <w:rsid w:val="00AE3252"/>
    <w:rsid w:val="00AE59FA"/>
    <w:rsid w:val="00AE6226"/>
    <w:rsid w:val="00AF2826"/>
    <w:rsid w:val="00B05881"/>
    <w:rsid w:val="00B07C90"/>
    <w:rsid w:val="00B26A75"/>
    <w:rsid w:val="00B51B36"/>
    <w:rsid w:val="00B62DF0"/>
    <w:rsid w:val="00B64E73"/>
    <w:rsid w:val="00B73B93"/>
    <w:rsid w:val="00B863B5"/>
    <w:rsid w:val="00B976F1"/>
    <w:rsid w:val="00BA53C6"/>
    <w:rsid w:val="00BA64BE"/>
    <w:rsid w:val="00BB284B"/>
    <w:rsid w:val="00BB36A3"/>
    <w:rsid w:val="00BD56C7"/>
    <w:rsid w:val="00C05F35"/>
    <w:rsid w:val="00C0726C"/>
    <w:rsid w:val="00C145BD"/>
    <w:rsid w:val="00C14FFB"/>
    <w:rsid w:val="00C32E2E"/>
    <w:rsid w:val="00C47CEC"/>
    <w:rsid w:val="00C720EC"/>
    <w:rsid w:val="00C72D27"/>
    <w:rsid w:val="00C8301C"/>
    <w:rsid w:val="00C869CB"/>
    <w:rsid w:val="00C9590B"/>
    <w:rsid w:val="00CA2EAA"/>
    <w:rsid w:val="00CB0BDB"/>
    <w:rsid w:val="00CB51F0"/>
    <w:rsid w:val="00CC1738"/>
    <w:rsid w:val="00CC3D66"/>
    <w:rsid w:val="00D00B33"/>
    <w:rsid w:val="00D10282"/>
    <w:rsid w:val="00D138B7"/>
    <w:rsid w:val="00D1464A"/>
    <w:rsid w:val="00D360F2"/>
    <w:rsid w:val="00D40195"/>
    <w:rsid w:val="00D4371D"/>
    <w:rsid w:val="00D90050"/>
    <w:rsid w:val="00DB4BE0"/>
    <w:rsid w:val="00DD3DCD"/>
    <w:rsid w:val="00DE216E"/>
    <w:rsid w:val="00DE418F"/>
    <w:rsid w:val="00DE6567"/>
    <w:rsid w:val="00E07B10"/>
    <w:rsid w:val="00E4764A"/>
    <w:rsid w:val="00E715E5"/>
    <w:rsid w:val="00E71B51"/>
    <w:rsid w:val="00EA06EC"/>
    <w:rsid w:val="00EA7302"/>
    <w:rsid w:val="00ED0C4B"/>
    <w:rsid w:val="00EE4AC4"/>
    <w:rsid w:val="00EE5B08"/>
    <w:rsid w:val="00EE771B"/>
    <w:rsid w:val="00F45B97"/>
    <w:rsid w:val="00F64159"/>
    <w:rsid w:val="00F720E5"/>
    <w:rsid w:val="00F74826"/>
    <w:rsid w:val="00F82687"/>
    <w:rsid w:val="00F924BD"/>
    <w:rsid w:val="00F9464D"/>
    <w:rsid w:val="00FC6F18"/>
    <w:rsid w:val="00FC778C"/>
    <w:rsid w:val="00FD172B"/>
    <w:rsid w:val="00FF2F39"/>
    <w:rsid w:val="00FF3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99D8F-3CCE-4A29-9876-B0E6D573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4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0252E7"/>
    <w:pPr>
      <w:spacing w:after="240" w:line="360" w:lineRule="auto"/>
      <w:jc w:val="both"/>
    </w:pPr>
    <w:rPr>
      <w:rFonts w:ascii="Times New Roman" w:eastAsia="Times New Roman" w:hAnsi="Times New Roman"/>
      <w:sz w:val="20"/>
      <w:szCs w:val="20"/>
      <w:lang w:val="x-none" w:eastAsia="x-none"/>
    </w:rPr>
  </w:style>
  <w:style w:type="paragraph" w:customStyle="1" w:styleId="Figure">
    <w:name w:val="Figure"/>
    <w:basedOn w:val="Normal"/>
    <w:rsid w:val="000252E7"/>
    <w:pPr>
      <w:numPr>
        <w:numId w:val="1"/>
      </w:numPr>
      <w:spacing w:before="120" w:after="120" w:line="240" w:lineRule="auto"/>
      <w:ind w:right="284"/>
      <w:jc w:val="both"/>
    </w:pPr>
    <w:rPr>
      <w:rFonts w:ascii="Times New Roman" w:eastAsia="Times New Roman" w:hAnsi="Times New Roman"/>
      <w:sz w:val="20"/>
      <w:szCs w:val="20"/>
    </w:rPr>
  </w:style>
  <w:style w:type="character" w:customStyle="1" w:styleId="TextChar">
    <w:name w:val="Text Char"/>
    <w:link w:val="Text"/>
    <w:rsid w:val="000252E7"/>
    <w:rPr>
      <w:rFonts w:ascii="Times New Roman" w:eastAsia="Times New Roman" w:hAnsi="Times New Roman" w:cs="Times New Roman"/>
    </w:rPr>
  </w:style>
  <w:style w:type="paragraph" w:customStyle="1" w:styleId="Table">
    <w:name w:val="Table"/>
    <w:basedOn w:val="Normal"/>
    <w:rsid w:val="000252E7"/>
    <w:pPr>
      <w:numPr>
        <w:numId w:val="2"/>
      </w:numPr>
      <w:spacing w:before="120" w:after="120" w:line="240" w:lineRule="auto"/>
      <w:ind w:right="284"/>
      <w:jc w:val="both"/>
    </w:pPr>
    <w:rPr>
      <w:rFonts w:ascii="Times New Roman" w:eastAsia="Times New Roman" w:hAnsi="Times New Roman"/>
      <w:sz w:val="20"/>
      <w:szCs w:val="20"/>
    </w:rPr>
  </w:style>
  <w:style w:type="paragraph" w:styleId="ListParagraph">
    <w:name w:val="List Paragraph"/>
    <w:basedOn w:val="Normal"/>
    <w:uiPriority w:val="34"/>
    <w:qFormat/>
    <w:rsid w:val="00161320"/>
    <w:pPr>
      <w:ind w:left="720"/>
    </w:pPr>
  </w:style>
  <w:style w:type="character" w:styleId="CommentReference">
    <w:name w:val="annotation reference"/>
    <w:uiPriority w:val="99"/>
    <w:semiHidden/>
    <w:unhideWhenUsed/>
    <w:rsid w:val="00244729"/>
    <w:rPr>
      <w:sz w:val="16"/>
      <w:szCs w:val="16"/>
    </w:rPr>
  </w:style>
  <w:style w:type="paragraph" w:styleId="CommentText">
    <w:name w:val="annotation text"/>
    <w:basedOn w:val="Normal"/>
    <w:link w:val="CommentTextChar"/>
    <w:uiPriority w:val="99"/>
    <w:semiHidden/>
    <w:unhideWhenUsed/>
    <w:rsid w:val="00244729"/>
    <w:rPr>
      <w:sz w:val="20"/>
      <w:szCs w:val="20"/>
    </w:rPr>
  </w:style>
  <w:style w:type="character" w:customStyle="1" w:styleId="CommentTextChar">
    <w:name w:val="Comment Text Char"/>
    <w:basedOn w:val="DefaultParagraphFont"/>
    <w:link w:val="CommentText"/>
    <w:uiPriority w:val="99"/>
    <w:semiHidden/>
    <w:rsid w:val="00244729"/>
  </w:style>
  <w:style w:type="paragraph" w:styleId="CommentSubject">
    <w:name w:val="annotation subject"/>
    <w:basedOn w:val="CommentText"/>
    <w:next w:val="CommentText"/>
    <w:link w:val="CommentSubjectChar"/>
    <w:uiPriority w:val="99"/>
    <w:semiHidden/>
    <w:unhideWhenUsed/>
    <w:rsid w:val="00244729"/>
    <w:rPr>
      <w:b/>
      <w:bCs/>
    </w:rPr>
  </w:style>
  <w:style w:type="character" w:customStyle="1" w:styleId="CommentSubjectChar">
    <w:name w:val="Comment Subject Char"/>
    <w:link w:val="CommentSubject"/>
    <w:uiPriority w:val="99"/>
    <w:semiHidden/>
    <w:rsid w:val="00244729"/>
    <w:rPr>
      <w:b/>
      <w:bCs/>
    </w:rPr>
  </w:style>
  <w:style w:type="paragraph" w:styleId="BalloonText">
    <w:name w:val="Balloon Text"/>
    <w:basedOn w:val="Normal"/>
    <w:link w:val="BalloonTextChar"/>
    <w:uiPriority w:val="99"/>
    <w:semiHidden/>
    <w:unhideWhenUsed/>
    <w:rsid w:val="0024472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44729"/>
    <w:rPr>
      <w:rFonts w:ascii="Segoe UI" w:hAnsi="Segoe UI" w:cs="Segoe UI"/>
      <w:sz w:val="18"/>
      <w:szCs w:val="18"/>
    </w:rPr>
  </w:style>
  <w:style w:type="paragraph" w:styleId="Revision">
    <w:name w:val="Revision"/>
    <w:hidden/>
    <w:uiPriority w:val="99"/>
    <w:semiHidden/>
    <w:rsid w:val="00796130"/>
    <w:rPr>
      <w:sz w:val="22"/>
      <w:szCs w:val="22"/>
    </w:rPr>
  </w:style>
  <w:style w:type="character" w:styleId="Hyperlink">
    <w:name w:val="Hyperlink"/>
    <w:uiPriority w:val="99"/>
    <w:unhideWhenUsed/>
    <w:rsid w:val="00D360F2"/>
    <w:rPr>
      <w:color w:val="0563C1"/>
      <w:u w:val="single"/>
    </w:rPr>
  </w:style>
  <w:style w:type="table" w:styleId="TableGrid">
    <w:name w:val="Table Grid"/>
    <w:basedOn w:val="TableNormal"/>
    <w:uiPriority w:val="59"/>
    <w:qFormat/>
    <w:rsid w:val="00164FE6"/>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36AB6"/>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536AB6"/>
    <w:rPr>
      <w:rFonts w:ascii="Times New Roman" w:eastAsia="MS Mincho" w:hAnsi="Times New Roman"/>
      <w:spacing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I:\PENELITIAN%20IKA\1.%20Penelitian%20RAMBUTAN%20(done)\Data%20Rambutan\Data%20AAS%20Adsorpsi%20Pb%20Karbon%20dan%20ekstraks%2070\Kesetimbangan%20adsorpsi%20Cu,%20Fe,%20Pb%20dengan%20tan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308333333333334"/>
          <c:y val="0.19731517935258092"/>
          <c:w val="0.60874956255468071"/>
          <c:h val="0.58083296879556723"/>
        </c:manualLayout>
      </c:layout>
      <c:scatterChart>
        <c:scatterStyle val="smoothMarker"/>
        <c:varyColors val="0"/>
        <c:ser>
          <c:idx val="0"/>
          <c:order val="0"/>
          <c:tx>
            <c:v>Adsorpsi Cu(II)</c:v>
          </c:tx>
          <c:spPr>
            <a:ln w="19050">
              <a:solidFill>
                <a:sysClr val="windowText" lastClr="000000"/>
              </a:solidFill>
            </a:ln>
          </c:spPr>
          <c:marker>
            <c:symbol val="circle"/>
            <c:size val="5"/>
            <c:spPr>
              <a:noFill/>
              <a:ln w="19050">
                <a:solidFill>
                  <a:sysClr val="windowText" lastClr="000000"/>
                </a:solidFill>
              </a:ln>
            </c:spPr>
          </c:marker>
          <c:xVal>
            <c:numRef>
              <c:f>'Kesetimbangan adsorpsi Pb'!$B$3:$B$12</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'Kesetimbangan adsorpsi Pb'!$C$3:$C$12</c:f>
              <c:numCache>
                <c:formatCode>0.00</c:formatCode>
                <c:ptCount val="10"/>
                <c:pt idx="0">
                  <c:v>0</c:v>
                </c:pt>
                <c:pt idx="1">
                  <c:v>0.90119047619047732</c:v>
                </c:pt>
                <c:pt idx="2">
                  <c:v>1.4214285714285724</c:v>
                </c:pt>
                <c:pt idx="3">
                  <c:v>1.3226190476190487</c:v>
                </c:pt>
                <c:pt idx="4">
                  <c:v>1.4333333333333342</c:v>
                </c:pt>
                <c:pt idx="5">
                  <c:v>1.659523809523811</c:v>
                </c:pt>
                <c:pt idx="6">
                  <c:v>1.5047619047619059</c:v>
                </c:pt>
                <c:pt idx="7">
                  <c:v>1.3726190476190487</c:v>
                </c:pt>
                <c:pt idx="8">
                  <c:v>1.6059523809523817</c:v>
                </c:pt>
                <c:pt idx="9">
                  <c:v>1.8119047619047628</c:v>
                </c:pt>
              </c:numCache>
            </c:numRef>
          </c:yVal>
          <c:smooth val="1"/>
        </c:ser>
        <c:ser>
          <c:idx val="2"/>
          <c:order val="1"/>
          <c:tx>
            <c:v>Adsorpsi Pb(II)</c:v>
          </c:tx>
          <c:spPr>
            <a:ln w="19050">
              <a:solidFill>
                <a:sysClr val="windowText" lastClr="000000"/>
              </a:solidFill>
            </a:ln>
          </c:spPr>
          <c:marker>
            <c:symbol val="triangle"/>
            <c:size val="5"/>
            <c:spPr>
              <a:noFill/>
              <a:ln w="19050">
                <a:solidFill>
                  <a:sysClr val="windowText" lastClr="000000"/>
                </a:solidFill>
              </a:ln>
            </c:spPr>
          </c:marker>
          <c:xVal>
            <c:numRef>
              <c:f>'Kesetimbangan adsorpsi Pb'!$B$3:$B$12</c:f>
              <c:numCache>
                <c:formatCode>General</c:formatCode>
                <c:ptCount val="10"/>
                <c:pt idx="0">
                  <c:v>0</c:v>
                </c:pt>
                <c:pt idx="1">
                  <c:v>10</c:v>
                </c:pt>
                <c:pt idx="2">
                  <c:v>20</c:v>
                </c:pt>
                <c:pt idx="3">
                  <c:v>30</c:v>
                </c:pt>
                <c:pt idx="4">
                  <c:v>40</c:v>
                </c:pt>
                <c:pt idx="5">
                  <c:v>50</c:v>
                </c:pt>
                <c:pt idx="6">
                  <c:v>60</c:v>
                </c:pt>
                <c:pt idx="7">
                  <c:v>70</c:v>
                </c:pt>
                <c:pt idx="8">
                  <c:v>80</c:v>
                </c:pt>
                <c:pt idx="9">
                  <c:v>90</c:v>
                </c:pt>
              </c:numCache>
            </c:numRef>
          </c:xVal>
          <c:yVal>
            <c:numRef>
              <c:f>'Kesetimbangan adsorpsi Pb'!$E$3:$E$12</c:f>
              <c:numCache>
                <c:formatCode>0.00</c:formatCode>
                <c:ptCount val="10"/>
                <c:pt idx="0">
                  <c:v>0</c:v>
                </c:pt>
                <c:pt idx="1">
                  <c:v>9.6442105263157885</c:v>
                </c:pt>
                <c:pt idx="2">
                  <c:v>9.5599999999999987</c:v>
                </c:pt>
                <c:pt idx="3">
                  <c:v>9.6357894736842091</c:v>
                </c:pt>
                <c:pt idx="4">
                  <c:v>9.5642105263157902</c:v>
                </c:pt>
                <c:pt idx="5">
                  <c:v>9.5642105263157902</c:v>
                </c:pt>
                <c:pt idx="6">
                  <c:v>9.5431578947368418</c:v>
                </c:pt>
                <c:pt idx="7">
                  <c:v>9.4842105263157883</c:v>
                </c:pt>
                <c:pt idx="8">
                  <c:v>9.4294736842105262</c:v>
                </c:pt>
                <c:pt idx="9">
                  <c:v>9.4021052631578961</c:v>
                </c:pt>
              </c:numCache>
            </c:numRef>
          </c:yVal>
          <c:smooth val="1"/>
        </c:ser>
        <c:dLbls>
          <c:showLegendKey val="0"/>
          <c:showVal val="0"/>
          <c:showCatName val="0"/>
          <c:showSerName val="0"/>
          <c:showPercent val="0"/>
          <c:showBubbleSize val="0"/>
        </c:dLbls>
        <c:axId val="366195232"/>
        <c:axId val="366191704"/>
      </c:scatterChart>
      <c:valAx>
        <c:axId val="366195232"/>
        <c:scaling>
          <c:orientation val="minMax"/>
          <c:max val="100"/>
          <c:min val="0"/>
        </c:scaling>
        <c:delete val="0"/>
        <c:axPos val="b"/>
        <c:title>
          <c:tx>
            <c:rich>
              <a:bodyPr/>
              <a:lstStyle/>
              <a:p>
                <a:pPr>
                  <a:defRPr/>
                </a:pPr>
                <a:r>
                  <a:rPr lang="en-US"/>
                  <a:t>waktu (menit)</a:t>
                </a:r>
              </a:p>
            </c:rich>
          </c:tx>
          <c:overlay val="0"/>
        </c:title>
        <c:numFmt formatCode="General" sourceLinked="1"/>
        <c:majorTickMark val="none"/>
        <c:minorTickMark val="none"/>
        <c:tickLblPos val="nextTo"/>
        <c:crossAx val="366191704"/>
        <c:crosses val="autoZero"/>
        <c:crossBetween val="midCat"/>
        <c:majorUnit val="20"/>
        <c:minorUnit val="4"/>
      </c:valAx>
      <c:valAx>
        <c:axId val="366191704"/>
        <c:scaling>
          <c:orientation val="minMax"/>
        </c:scaling>
        <c:delete val="0"/>
        <c:axPos val="l"/>
        <c:title>
          <c:tx>
            <c:rich>
              <a:bodyPr/>
              <a:lstStyle/>
              <a:p>
                <a:pPr>
                  <a:defRPr/>
                </a:pPr>
                <a:r>
                  <a:rPr lang="en-US"/>
                  <a:t>qt (mg/g)</a:t>
                </a:r>
              </a:p>
            </c:rich>
          </c:tx>
          <c:layout>
            <c:manualLayout>
              <c:xMode val="edge"/>
              <c:yMode val="edge"/>
              <c:x val="8.3333333333333332E-3"/>
              <c:y val="0.37684237386993286"/>
            </c:manualLayout>
          </c:layout>
          <c:overlay val="0"/>
        </c:title>
        <c:numFmt formatCode="0" sourceLinked="0"/>
        <c:majorTickMark val="none"/>
        <c:minorTickMark val="none"/>
        <c:tickLblPos val="nextTo"/>
        <c:crossAx val="366195232"/>
        <c:crosses val="autoZero"/>
        <c:crossBetween val="midCat"/>
      </c:valAx>
    </c:plotArea>
    <c:legend>
      <c:legendPos val="r"/>
      <c:layout>
        <c:manualLayout>
          <c:xMode val="edge"/>
          <c:yMode val="edge"/>
          <c:x val="0.67681194317360938"/>
          <c:y val="0.30795869617421412"/>
          <c:w val="0.31837226101613292"/>
          <c:h val="0.44828806511545605"/>
        </c:manualLayout>
      </c:layou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A562F27E-9767-4A8B-BF38-1AC86C27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kimia</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kimia2</dc:creator>
  <cp:keywords/>
  <cp:lastModifiedBy>Mr. Wahyu Fajar W</cp:lastModifiedBy>
  <cp:revision>62</cp:revision>
  <dcterms:created xsi:type="dcterms:W3CDTF">2020-06-18T15:00:00Z</dcterms:created>
  <dcterms:modified xsi:type="dcterms:W3CDTF">2020-06-18T17:03:00Z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18275d55-ccb3-3bdd-8e2b-1c11963a3f6b</vt:lpwstr>
  </property>
  <property fmtid="{D5CDD505-2E9C-101B-9397-08002B2CF9AE}" pid="4" name="Mendeley Citation Style_1">
    <vt:lpwstr>http://www.zotero.org/styles/arabian-journal-of-chemistry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http://www.zotero.org/styles/arabian-journal-of-chemistry</vt:lpwstr>
  </property>
  <property fmtid="{D5CDD505-2E9C-101B-9397-08002B2CF9AE}" pid="14" name="Mendeley Recent Style Name 4_1">
    <vt:lpwstr>Arabian Journal of Chemistry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